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959" w:rsidRPr="00273959" w:rsidRDefault="00273959" w:rsidP="00273959">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73959" w:rsidRPr="00273959" w:rsidRDefault="00273959" w:rsidP="00273959">
      <w:pPr>
        <w:autoSpaceDE w:val="0"/>
        <w:autoSpaceDN w:val="0"/>
        <w:adjustRightInd w:val="0"/>
        <w:jc w:val="center"/>
        <w:outlineLvl w:val="1"/>
        <w:rPr>
          <w:rFonts w:asciiTheme="majorHAnsi" w:eastAsiaTheme="majorEastAsia" w:hAnsiTheme="majorHAnsi" w:cstheme="majorBidi"/>
          <w:b/>
          <w:bCs/>
          <w:color w:val="365F91" w:themeColor="accent1" w:themeShade="BF"/>
          <w:sz w:val="32"/>
          <w:szCs w:val="32"/>
          <w:lang w:eastAsia="ja-JP"/>
        </w:rPr>
      </w:pPr>
      <w:bookmarkStart w:id="0" w:name="_Toc419471288"/>
      <w:bookmarkStart w:id="1" w:name="_Toc419471515"/>
      <w:bookmarkStart w:id="2" w:name="_Toc419471768"/>
      <w:bookmarkStart w:id="3" w:name="_Toc419472845"/>
      <w:r w:rsidRPr="00273959">
        <w:rPr>
          <w:rFonts w:asciiTheme="majorHAnsi" w:eastAsiaTheme="majorEastAsia" w:hAnsiTheme="majorHAnsi" w:cstheme="majorBidi"/>
          <w:b/>
          <w:bCs/>
          <w:color w:val="365F91" w:themeColor="accent1" w:themeShade="BF"/>
          <w:sz w:val="32"/>
          <w:szCs w:val="32"/>
          <w:lang w:eastAsia="ja-JP"/>
        </w:rPr>
        <w:t>Technical information sheet for the proposed SDG indicator “Fixed Internet broadband subscriptions broken down by speed”</w:t>
      </w:r>
      <w:bookmarkEnd w:id="0"/>
      <w:bookmarkEnd w:id="1"/>
      <w:bookmarkEnd w:id="2"/>
      <w:bookmarkEnd w:id="3"/>
    </w:p>
    <w:p w:rsidR="00273959" w:rsidRPr="00273959" w:rsidRDefault="00273959" w:rsidP="00273959">
      <w:pPr>
        <w:autoSpaceDE w:val="0"/>
        <w:autoSpaceDN w:val="0"/>
        <w:adjustRightInd w:val="0"/>
        <w:jc w:val="center"/>
        <w:outlineLvl w:val="1"/>
        <w:rPr>
          <w:rFonts w:asciiTheme="majorHAnsi" w:eastAsiaTheme="majorEastAsia" w:hAnsiTheme="majorHAnsi" w:cstheme="majorBidi"/>
          <w:b/>
          <w:bCs/>
          <w:color w:val="365F91" w:themeColor="accent1" w:themeShade="BF"/>
          <w:sz w:val="28"/>
          <w:szCs w:val="28"/>
          <w:lang w:eastAsia="ja-JP"/>
        </w:rPr>
      </w:pPr>
    </w:p>
    <w:p w:rsidR="00273959" w:rsidRPr="00273959" w:rsidRDefault="00273959" w:rsidP="00273959">
      <w:pPr>
        <w:autoSpaceDE w:val="0"/>
        <w:autoSpaceDN w:val="0"/>
        <w:adjustRightInd w:val="0"/>
        <w:outlineLvl w:val="1"/>
        <w:rPr>
          <w:rFonts w:asciiTheme="minorHAnsi" w:eastAsia="SimSun" w:hAnsiTheme="minorHAnsi"/>
          <w:b/>
          <w:bCs/>
          <w:color w:val="auto"/>
          <w:sz w:val="32"/>
          <w:szCs w:val="32"/>
          <w:lang w:eastAsia="zh-CN"/>
        </w:rPr>
      </w:pPr>
      <w:bookmarkStart w:id="4" w:name="_Toc419471289"/>
      <w:r w:rsidRPr="00273959">
        <w:rPr>
          <w:rFonts w:asciiTheme="majorHAnsi" w:eastAsiaTheme="majorEastAsia" w:hAnsiTheme="majorHAnsi" w:cstheme="majorBidi"/>
          <w:b/>
          <w:bCs/>
          <w:color w:val="365F91" w:themeColor="accent1" w:themeShade="BF"/>
          <w:sz w:val="28"/>
          <w:szCs w:val="28"/>
          <w:lang w:eastAsia="ja-JP"/>
        </w:rPr>
        <w:t>Goal and target addressed:</w:t>
      </w:r>
      <w:bookmarkEnd w:id="4"/>
      <w:r w:rsidRPr="00273959">
        <w:rPr>
          <w:rFonts w:asciiTheme="minorHAnsi" w:eastAsia="SimSun" w:hAnsiTheme="minorHAnsi"/>
          <w:b/>
          <w:bCs/>
          <w:color w:val="auto"/>
          <w:sz w:val="32"/>
          <w:szCs w:val="32"/>
          <w:lang w:eastAsia="zh-CN"/>
        </w:rPr>
        <w:t xml:space="preserve"> </w:t>
      </w:r>
    </w:p>
    <w:p w:rsidR="00273959" w:rsidRPr="00273959" w:rsidRDefault="00273959" w:rsidP="00273959">
      <w:pPr>
        <w:rPr>
          <w:rFonts w:asciiTheme="minorHAnsi" w:eastAsia="MS Mincho" w:hAnsiTheme="minorHAnsi"/>
          <w:color w:val="auto"/>
          <w:lang w:eastAsia="ja-JP"/>
        </w:rPr>
      </w:pPr>
      <w:bookmarkStart w:id="5" w:name="_Toc419471290"/>
      <w:bookmarkStart w:id="6" w:name="_Toc419471769"/>
      <w:bookmarkStart w:id="7" w:name="_Toc419472846"/>
      <w:r w:rsidRPr="00273959">
        <w:rPr>
          <w:rFonts w:asciiTheme="minorHAnsi" w:eastAsia="MS Mincho" w:hAnsiTheme="minorHAnsi"/>
          <w:color w:val="auto"/>
          <w:lang w:eastAsia="ja-JP"/>
        </w:rPr>
        <w:t>Goal 17: Strengthen the means of implementation and revitalize the global partnership for sustainable development</w:t>
      </w:r>
      <w:bookmarkEnd w:id="5"/>
      <w:bookmarkEnd w:id="6"/>
      <w:bookmarkEnd w:id="7"/>
    </w:p>
    <w:p w:rsidR="00273959" w:rsidRPr="00273959" w:rsidRDefault="00273959" w:rsidP="00273959">
      <w:pPr>
        <w:rPr>
          <w:rFonts w:asciiTheme="minorHAnsi" w:eastAsia="MS Mincho" w:hAnsiTheme="minorHAnsi"/>
          <w:color w:val="auto"/>
          <w:lang w:eastAsia="zh-CN"/>
        </w:rPr>
      </w:pPr>
      <w:bookmarkStart w:id="8" w:name="_Toc419471291"/>
      <w:bookmarkStart w:id="9" w:name="_Toc419471770"/>
      <w:bookmarkStart w:id="10" w:name="_Toc419472847"/>
      <w:r w:rsidRPr="00273959">
        <w:rPr>
          <w:rFonts w:asciiTheme="minorHAnsi" w:eastAsia="MS Mincho" w:hAnsiTheme="minorHAnsi"/>
          <w:color w:val="auto"/>
          <w:lang w:eastAsia="ja-JP"/>
        </w:rPr>
        <w:t>Target 17.6: enhance North-South, South-South and triangular regional and</w:t>
      </w:r>
      <w:r w:rsidRPr="00273959">
        <w:rPr>
          <w:rFonts w:asciiTheme="majorHAnsi" w:eastAsiaTheme="majorEastAsia" w:hAnsiTheme="majorHAnsi" w:cstheme="majorBidi"/>
          <w:color w:val="365F91" w:themeColor="accent1" w:themeShade="BF"/>
          <w:sz w:val="32"/>
          <w:szCs w:val="32"/>
          <w:lang w:eastAsia="ja-JP"/>
        </w:rPr>
        <w:t xml:space="preserve"> </w:t>
      </w:r>
      <w:r w:rsidRPr="00273959">
        <w:rPr>
          <w:rFonts w:asciiTheme="minorHAnsi" w:eastAsia="MS Mincho" w:hAnsiTheme="minorHAnsi"/>
          <w:color w:val="auto"/>
          <w:lang w:eastAsia="ja-JP"/>
        </w:rPr>
        <w:t>international cooperation on and access to science, technology and innovations, and enhance</w:t>
      </w:r>
      <w:r w:rsidRPr="00273959">
        <w:rPr>
          <w:rFonts w:asciiTheme="majorHAnsi" w:eastAsiaTheme="majorEastAsia" w:hAnsiTheme="majorHAnsi" w:cstheme="majorBidi"/>
          <w:color w:val="365F91" w:themeColor="accent1" w:themeShade="BF"/>
          <w:sz w:val="32"/>
          <w:szCs w:val="32"/>
          <w:lang w:eastAsia="ja-JP"/>
        </w:rPr>
        <w:t xml:space="preserve"> </w:t>
      </w:r>
      <w:r w:rsidRPr="00273959">
        <w:rPr>
          <w:rFonts w:asciiTheme="minorHAnsi" w:eastAsia="MS Mincho" w:hAnsiTheme="minorHAnsi"/>
          <w:color w:val="auto"/>
          <w:lang w:eastAsia="ja-JP"/>
        </w:rPr>
        <w:t>knowledge sharing on mutually agreed terms, including through improved coordination among existing mechanisms, particularly at UN level, and through a global technology facilitation mechanism when agreed</w:t>
      </w:r>
      <w:bookmarkEnd w:id="8"/>
      <w:bookmarkEnd w:id="9"/>
      <w:bookmarkEnd w:id="10"/>
      <w:r w:rsidRPr="00273959" w:rsidDel="0006065B">
        <w:rPr>
          <w:rFonts w:asciiTheme="minorHAnsi" w:eastAsia="MS Mincho" w:hAnsiTheme="minorHAnsi"/>
          <w:color w:val="auto"/>
          <w:lang w:eastAsia="ja-JP"/>
        </w:rPr>
        <w:t xml:space="preserve">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11" w:name="_Toc419471292"/>
      <w:r w:rsidRPr="00273959">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11"/>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eastAsia="zh-CN"/>
        </w:rPr>
        <w:t xml:space="preserve">The indicator </w:t>
      </w:r>
      <w:r w:rsidRPr="00273959">
        <w:rPr>
          <w:rFonts w:asciiTheme="minorHAnsi" w:eastAsia="MS Mincho" w:hAnsiTheme="minorHAnsi" w:cs="Calibri,Italic"/>
          <w:i/>
          <w:iCs/>
          <w:color w:val="auto"/>
          <w:lang w:val="en-US"/>
        </w:rPr>
        <w:t>fixed Internet broadband subscriptions, by speed</w:t>
      </w:r>
      <w:r w:rsidRPr="00273959">
        <w:rPr>
          <w:rFonts w:asciiTheme="minorHAnsi" w:eastAsia="MS Mincho" w:hAnsiTheme="minorHAnsi" w:cs="Calibri,Italic"/>
          <w:color w:val="auto"/>
          <w:lang w:val="en-US"/>
        </w:rPr>
        <w:t>,</w:t>
      </w:r>
      <w:r w:rsidRPr="00273959">
        <w:rPr>
          <w:rFonts w:asciiTheme="minorHAnsi" w:eastAsia="MS Mincho" w:hAnsiTheme="minorHAnsi" w:cs="Calibri,Italic"/>
          <w:i/>
          <w:iCs/>
          <w:color w:val="auto"/>
          <w:lang w:val="en-US"/>
        </w:rPr>
        <w:t xml:space="preserve"> </w:t>
      </w:r>
      <w:r w:rsidRPr="00273959">
        <w:rPr>
          <w:rFonts w:asciiTheme="minorHAnsi" w:eastAsia="MS Mincho" w:hAnsiTheme="minorHAnsi"/>
          <w:color w:val="auto"/>
          <w:lang w:val="en-US"/>
        </w:rPr>
        <w:t xml:space="preserve">refers to the number of fixed-broadband subscriptions to the public Internet, split by advertised download speed. </w:t>
      </w:r>
    </w:p>
    <w:p w:rsidR="00273959" w:rsidRPr="00273959" w:rsidRDefault="00273959" w:rsidP="00273959">
      <w:pPr>
        <w:rPr>
          <w:rFonts w:asciiTheme="minorHAnsi" w:eastAsia="MS Mincho" w:hAnsiTheme="minorHAnsi"/>
          <w:color w:val="auto"/>
          <w:lang w:val="en-US"/>
        </w:rPr>
      </w:pPr>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eastAsia="ja-JP"/>
        </w:rPr>
        <w:t>Fixed Internet broadband subscriptions</w:t>
      </w:r>
      <w:r w:rsidRPr="00273959">
        <w:rPr>
          <w:rFonts w:asciiTheme="minorHAnsi" w:eastAsia="MS Mincho" w:hAnsiTheme="minorHAnsi"/>
          <w:color w:val="auto"/>
          <w:lang w:val="en-US"/>
        </w:rPr>
        <w:t xml:space="preserve"> refer to subscriptions to high-speed access to the public Internet (a TCP/IP connection), at downstream speeds equal to, or greater than, 256 </w:t>
      </w:r>
      <w:proofErr w:type="spellStart"/>
      <w:r w:rsidRPr="00273959">
        <w:rPr>
          <w:rFonts w:asciiTheme="minorHAnsi" w:eastAsia="MS Mincho" w:hAnsiTheme="minorHAnsi"/>
          <w:color w:val="auto"/>
          <w:lang w:val="en-US"/>
        </w:rPr>
        <w:t>kbit</w:t>
      </w:r>
      <w:proofErr w:type="spellEnd"/>
      <w:r w:rsidRPr="00273959">
        <w:rPr>
          <w:rFonts w:asciiTheme="minorHAnsi" w:eastAsia="MS Mincho" w:hAnsiTheme="minorHAnsi"/>
          <w:color w:val="auto"/>
          <w:lang w:val="en-US"/>
        </w:rPr>
        <w:t xml:space="preserve">/s. This includes cable modem, DSL, </w:t>
      </w:r>
      <w:proofErr w:type="spellStart"/>
      <w:r w:rsidRPr="00273959">
        <w:rPr>
          <w:rFonts w:asciiTheme="minorHAnsi" w:eastAsia="MS Mincho" w:hAnsiTheme="minorHAnsi"/>
          <w:color w:val="auto"/>
          <w:lang w:val="en-US"/>
        </w:rPr>
        <w:t>fibre</w:t>
      </w:r>
      <w:proofErr w:type="spellEnd"/>
      <w:r w:rsidRPr="00273959">
        <w:rPr>
          <w:rFonts w:asciiTheme="minorHAnsi" w:eastAsia="MS Mincho" w:hAnsiTheme="minorHAnsi"/>
          <w:color w:val="auto"/>
          <w:lang w:val="en-US"/>
        </w:rPr>
        <w:t xml:space="preserve">-to-the-home/building, other fixed (wired)-broadband subscriptions, satellite broadband and terrestrial fixed wireless broadband. This total is measured irrespective of the method of payment. It excludes subscriptions that have access to data communications (including the Internet) via mobile-cellular networks. It should include fixed WiMAX and any other fixed wireless technologies. It includes both residential subscriptions and subscriptions for organizations. </w:t>
      </w:r>
    </w:p>
    <w:p w:rsidR="00273959" w:rsidRPr="00273959" w:rsidRDefault="00273959" w:rsidP="00273959">
      <w:pPr>
        <w:rPr>
          <w:rFonts w:asciiTheme="minorHAnsi" w:eastAsia="MS Mincho" w:hAnsiTheme="minorHAnsi"/>
          <w:color w:val="auto"/>
          <w:lang w:val="en-US"/>
        </w:rPr>
      </w:pPr>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rPr>
        <w:t>The Internet</w:t>
      </w:r>
      <w:r w:rsidRPr="00273959">
        <w:rPr>
          <w:rFonts w:asciiTheme="minorHAnsi" w:eastAsia="MS Mincho" w:hAnsiTheme="minorHAnsi"/>
          <w:i/>
          <w:iCs/>
          <w:color w:val="auto"/>
          <w:lang w:val="en-US"/>
        </w:rPr>
        <w:t xml:space="preserve"> </w:t>
      </w:r>
      <w:r w:rsidRPr="00273959">
        <w:rPr>
          <w:rFonts w:asciiTheme="minorHAnsi" w:eastAsia="MS Mincho" w:hAnsiTheme="minorHAnsi"/>
          <w:color w:val="auto"/>
          <w:lang w:val="en-US"/>
        </w:rPr>
        <w:t>is a worldwide public computer network. It provides access to a number of communication services including the World Wide Web and carries e-mail, news, entertainment and data files.</w:t>
      </w:r>
    </w:p>
    <w:p w:rsidR="00273959" w:rsidRPr="00273959" w:rsidRDefault="00273959" w:rsidP="00273959">
      <w:pPr>
        <w:rPr>
          <w:rFonts w:asciiTheme="minorHAnsi" w:eastAsia="MS Mincho" w:hAnsiTheme="minorHAnsi"/>
          <w:color w:val="auto"/>
          <w:lang w:val="en-US"/>
        </w:rPr>
      </w:pPr>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rPr>
        <w:t>The indicator is currently broken down by the following subscription speeds:</w:t>
      </w:r>
    </w:p>
    <w:p w:rsidR="00273959" w:rsidRPr="00273959" w:rsidRDefault="00273959" w:rsidP="00273959">
      <w:pPr>
        <w:numPr>
          <w:ilvl w:val="0"/>
          <w:numId w:val="3"/>
        </w:numPr>
        <w:autoSpaceDE w:val="0"/>
        <w:autoSpaceDN w:val="0"/>
        <w:adjustRightInd w:val="0"/>
        <w:contextualSpacing/>
        <w:rPr>
          <w:rFonts w:asciiTheme="minorHAnsi" w:eastAsiaTheme="minorEastAsia" w:hAnsiTheme="minorHAnsi" w:cs="Calibri,BoldItalic"/>
          <w:b/>
          <w:bCs/>
          <w:i/>
          <w:iCs/>
          <w:color w:val="auto"/>
          <w:lang w:val="en-US"/>
        </w:rPr>
      </w:pPr>
      <w:r w:rsidRPr="00273959">
        <w:rPr>
          <w:rFonts w:asciiTheme="minorHAnsi" w:eastAsiaTheme="minorEastAsia" w:hAnsiTheme="minorHAnsi" w:cs="Calibri,BoldItalic"/>
          <w:b/>
          <w:bCs/>
          <w:i/>
          <w:iCs/>
          <w:color w:val="auto"/>
          <w:lang w:val="en-US"/>
        </w:rPr>
        <w:t xml:space="preserve">256 </w:t>
      </w:r>
      <w:proofErr w:type="spellStart"/>
      <w:r w:rsidRPr="00273959">
        <w:rPr>
          <w:rFonts w:asciiTheme="minorHAnsi" w:eastAsiaTheme="minorEastAsia" w:hAnsiTheme="minorHAnsi" w:cs="Calibri,BoldItalic"/>
          <w:b/>
          <w:bCs/>
          <w:i/>
          <w:iCs/>
          <w:color w:val="auto"/>
          <w:lang w:val="en-US"/>
        </w:rPr>
        <w:t>kbit</w:t>
      </w:r>
      <w:proofErr w:type="spellEnd"/>
      <w:r w:rsidRPr="00273959">
        <w:rPr>
          <w:rFonts w:asciiTheme="minorHAnsi" w:eastAsiaTheme="minorEastAsia" w:hAnsiTheme="minorHAnsi" w:cs="Calibri,BoldItalic"/>
          <w:b/>
          <w:bCs/>
          <w:i/>
          <w:iCs/>
          <w:color w:val="auto"/>
          <w:lang w:val="en-US"/>
        </w:rPr>
        <w:t xml:space="preserve">/s to less than 2 Mbit/s subscriptions: </w:t>
      </w:r>
      <w:r w:rsidRPr="00273959">
        <w:rPr>
          <w:rFonts w:asciiTheme="minorHAnsi" w:eastAsiaTheme="minorEastAsia" w:hAnsiTheme="minorHAnsi" w:cs="Calibri"/>
          <w:color w:val="auto"/>
          <w:lang w:val="en-US"/>
        </w:rPr>
        <w:t xml:space="preserve">Refers to all fixed broadband Internet subscriptions with advertised downstream speeds equal </w:t>
      </w:r>
      <w:proofErr w:type="gramStart"/>
      <w:r w:rsidRPr="00273959">
        <w:rPr>
          <w:rFonts w:asciiTheme="minorHAnsi" w:eastAsiaTheme="minorEastAsia" w:hAnsiTheme="minorHAnsi" w:cs="Calibri"/>
          <w:color w:val="auto"/>
          <w:lang w:val="en-US"/>
        </w:rPr>
        <w:t>to,</w:t>
      </w:r>
      <w:proofErr w:type="gramEnd"/>
      <w:r w:rsidRPr="00273959">
        <w:rPr>
          <w:rFonts w:asciiTheme="minorHAnsi" w:eastAsiaTheme="minorEastAsia" w:hAnsiTheme="minorHAnsi" w:cs="Calibri"/>
          <w:color w:val="auto"/>
          <w:lang w:val="en-US"/>
        </w:rPr>
        <w:t xml:space="preserve"> or greater than, 256 </w:t>
      </w:r>
      <w:proofErr w:type="spellStart"/>
      <w:r w:rsidRPr="00273959">
        <w:rPr>
          <w:rFonts w:asciiTheme="minorHAnsi" w:eastAsiaTheme="minorEastAsia" w:hAnsiTheme="minorHAnsi" w:cs="Calibri"/>
          <w:color w:val="auto"/>
          <w:lang w:val="en-US"/>
        </w:rPr>
        <w:t>kbit</w:t>
      </w:r>
      <w:proofErr w:type="spellEnd"/>
      <w:r w:rsidRPr="00273959">
        <w:rPr>
          <w:rFonts w:asciiTheme="minorHAnsi" w:eastAsiaTheme="minorEastAsia" w:hAnsiTheme="minorHAnsi" w:cs="Calibri"/>
          <w:color w:val="auto"/>
          <w:lang w:val="en-US"/>
        </w:rPr>
        <w:t>/s and less than 2 Mbit/s.</w:t>
      </w:r>
    </w:p>
    <w:p w:rsidR="00273959" w:rsidRPr="00273959" w:rsidRDefault="00273959" w:rsidP="00273959">
      <w:pPr>
        <w:numPr>
          <w:ilvl w:val="0"/>
          <w:numId w:val="3"/>
        </w:numPr>
        <w:autoSpaceDE w:val="0"/>
        <w:autoSpaceDN w:val="0"/>
        <w:adjustRightInd w:val="0"/>
        <w:contextualSpacing/>
        <w:rPr>
          <w:rFonts w:asciiTheme="minorHAnsi" w:eastAsiaTheme="minorEastAsia" w:hAnsiTheme="minorHAnsi" w:cs="Calibri,BoldItalic"/>
          <w:b/>
          <w:bCs/>
          <w:i/>
          <w:iCs/>
          <w:color w:val="auto"/>
          <w:lang w:val="en-US"/>
        </w:rPr>
      </w:pPr>
      <w:r w:rsidRPr="00273959">
        <w:rPr>
          <w:rFonts w:asciiTheme="minorHAnsi" w:eastAsiaTheme="minorEastAsia" w:hAnsiTheme="minorHAnsi" w:cs="Calibri,BoldItalic"/>
          <w:b/>
          <w:bCs/>
          <w:i/>
          <w:iCs/>
          <w:color w:val="auto"/>
          <w:lang w:val="en-US"/>
        </w:rPr>
        <w:t>2 Mbit/s to less than 10 Mbit/s subscriptions:</w:t>
      </w:r>
      <w:r w:rsidRPr="00273959">
        <w:rPr>
          <w:rFonts w:asciiTheme="minorHAnsi" w:eastAsiaTheme="minorEastAsia" w:hAnsiTheme="minorHAnsi" w:cs="Calibri"/>
          <w:color w:val="auto"/>
          <w:lang w:val="en-US"/>
        </w:rPr>
        <w:t xml:space="preserve"> Refers to all fixed -broadband Internet subscriptions with advertised downstream speeds equal </w:t>
      </w:r>
      <w:proofErr w:type="gramStart"/>
      <w:r w:rsidRPr="00273959">
        <w:rPr>
          <w:rFonts w:asciiTheme="minorHAnsi" w:eastAsiaTheme="minorEastAsia" w:hAnsiTheme="minorHAnsi" w:cs="Calibri"/>
          <w:color w:val="auto"/>
          <w:lang w:val="en-US"/>
        </w:rPr>
        <w:t>to,</w:t>
      </w:r>
      <w:proofErr w:type="gramEnd"/>
      <w:r w:rsidRPr="00273959">
        <w:rPr>
          <w:rFonts w:asciiTheme="minorHAnsi" w:eastAsiaTheme="minorEastAsia" w:hAnsiTheme="minorHAnsi" w:cs="Calibri"/>
          <w:color w:val="auto"/>
          <w:lang w:val="en-US"/>
        </w:rPr>
        <w:t xml:space="preserve"> or greater than, 2 Mbit/s and less than 10 Mbit/s.</w:t>
      </w:r>
    </w:p>
    <w:p w:rsidR="00273959" w:rsidRPr="00273959" w:rsidRDefault="00273959" w:rsidP="00273959">
      <w:pPr>
        <w:numPr>
          <w:ilvl w:val="0"/>
          <w:numId w:val="3"/>
        </w:numPr>
        <w:autoSpaceDE w:val="0"/>
        <w:autoSpaceDN w:val="0"/>
        <w:adjustRightInd w:val="0"/>
        <w:contextualSpacing/>
        <w:rPr>
          <w:rFonts w:asciiTheme="minorHAnsi" w:eastAsiaTheme="minorEastAsia" w:hAnsiTheme="minorHAnsi" w:cs="Calibri,BoldItalic"/>
          <w:b/>
          <w:bCs/>
          <w:i/>
          <w:iCs/>
          <w:color w:val="auto"/>
          <w:lang w:val="en-US"/>
        </w:rPr>
      </w:pPr>
      <w:r w:rsidRPr="00273959">
        <w:rPr>
          <w:rFonts w:asciiTheme="minorHAnsi" w:eastAsiaTheme="minorEastAsia" w:hAnsiTheme="minorHAnsi" w:cs="Calibri,BoldItalic"/>
          <w:b/>
          <w:bCs/>
          <w:i/>
          <w:iCs/>
          <w:color w:val="auto"/>
          <w:lang w:val="en-US"/>
        </w:rPr>
        <w:t>Equal to or above 10 Mbit/s subscriptions (4213_G10).</w:t>
      </w:r>
      <w:r w:rsidRPr="00273959">
        <w:rPr>
          <w:rFonts w:asciiTheme="minorHAnsi" w:eastAsiaTheme="minorEastAsia" w:hAnsiTheme="minorHAnsi" w:cs="Calibri"/>
          <w:color w:val="auto"/>
          <w:lang w:val="en-US"/>
        </w:rPr>
        <w:t xml:space="preserve"> Refers to all fixed -broadband Internet subscriptions with advertised downstream speeds equal to, or greater than, 10 Mbit/s.</w:t>
      </w:r>
    </w:p>
    <w:p w:rsidR="00273959" w:rsidRPr="00273959" w:rsidRDefault="00273959" w:rsidP="00273959">
      <w:pPr>
        <w:autoSpaceDE w:val="0"/>
        <w:autoSpaceDN w:val="0"/>
        <w:adjustRightInd w:val="0"/>
        <w:rPr>
          <w:rFonts w:asciiTheme="minorHAnsi" w:eastAsiaTheme="minorEastAsia" w:hAnsiTheme="minorHAnsi" w:cs="Calibri"/>
          <w:color w:val="auto"/>
          <w:lang w:val="en-US"/>
        </w:rPr>
      </w:pPr>
    </w:p>
    <w:p w:rsidR="00273959" w:rsidRPr="00273959" w:rsidRDefault="00273959" w:rsidP="00273959">
      <w:pPr>
        <w:rPr>
          <w:rFonts w:ascii="Calibri" w:eastAsiaTheme="minorEastAsia" w:hAnsi="Calibri" w:cs="Calibri"/>
          <w:color w:val="auto"/>
          <w:lang w:val="en-US"/>
        </w:rPr>
      </w:pPr>
      <w:r w:rsidRPr="00273959">
        <w:rPr>
          <w:rFonts w:asciiTheme="minorHAnsi" w:eastAsia="MS Mincho" w:hAnsiTheme="minorHAnsi"/>
          <w:color w:val="auto"/>
          <w:lang w:eastAsia="ja-JP"/>
        </w:rPr>
        <w:lastRenderedPageBreak/>
        <w:t xml:space="preserve">ITU collects data for this indicator through an annual questionnaire from national regulatory authorities or Information and Communication Technology (ICT) Ministries, who collect the data from national Internet service providers. </w:t>
      </w:r>
      <w:r w:rsidRPr="00273959">
        <w:rPr>
          <w:rFonts w:ascii="Calibri" w:eastAsiaTheme="minorEastAsia" w:hAnsi="Calibri" w:cs="Calibri"/>
          <w:color w:val="auto"/>
          <w:lang w:val="en-US"/>
        </w:rPr>
        <w:t xml:space="preserve">The data can be collected by asking each </w:t>
      </w:r>
      <w:r w:rsidRPr="00273959">
        <w:rPr>
          <w:rFonts w:asciiTheme="minorHAnsi" w:eastAsia="MS Mincho" w:hAnsiTheme="minorHAnsi"/>
          <w:color w:val="auto"/>
          <w:lang w:eastAsia="ja-JP"/>
        </w:rPr>
        <w:t xml:space="preserve">Internet service provider </w:t>
      </w:r>
      <w:r w:rsidRPr="00273959">
        <w:rPr>
          <w:rFonts w:ascii="Calibri" w:eastAsiaTheme="minorEastAsia" w:hAnsi="Calibri" w:cs="Calibri"/>
          <w:color w:val="auto"/>
          <w:lang w:val="en-US"/>
        </w:rPr>
        <w:t>in the country to provide the number of their fixed-broadband subscriptions by the speeds indicated. The data are then added up to obtain the country totals.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2" w:name="_Toc419471293"/>
      <w:r w:rsidRPr="00273959">
        <w:rPr>
          <w:rFonts w:asciiTheme="majorHAnsi" w:eastAsiaTheme="majorEastAsia" w:hAnsiTheme="majorHAnsi" w:cstheme="majorBidi"/>
          <w:b/>
          <w:bCs/>
          <w:color w:val="365F91" w:themeColor="accent1" w:themeShade="BF"/>
          <w:sz w:val="28"/>
          <w:szCs w:val="28"/>
          <w:lang w:eastAsia="ja-JP"/>
        </w:rPr>
        <w:t>Rationale and interpretation</w:t>
      </w:r>
      <w:bookmarkEnd w:id="12"/>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The Internet has become an increasingly important tool to provide access to information, and can help foster and enhance regional and international cooperation on, and access to, science, technology and innovations, and enhance knowledge sharing. High-speed Internet access is important to ensure that Internet users have quality access to the Internet and can take advantage of the growing amount of Internet content – including user-generated content –, services and information.</w:t>
      </w:r>
    </w:p>
    <w:p w:rsidR="00273959" w:rsidRPr="00273959" w:rsidRDefault="00273959" w:rsidP="00273959">
      <w:pPr>
        <w:rPr>
          <w:rFonts w:asciiTheme="minorHAnsi" w:eastAsia="MS Mincho" w:hAnsiTheme="minorHAnsi"/>
          <w:color w:val="auto"/>
          <w:lang w:eastAsia="ja-JP"/>
        </w:rPr>
      </w:pPr>
    </w:p>
    <w:p w:rsidR="00273959" w:rsidRPr="00273959" w:rsidRDefault="00273959" w:rsidP="00273959">
      <w:pPr>
        <w:rPr>
          <w:rFonts w:asciiTheme="minorHAnsi" w:eastAsiaTheme="minorEastAsia" w:hAnsiTheme="minorHAnsi" w:cs="Arial"/>
          <w:color w:val="auto"/>
          <w:lang w:val="en-US"/>
        </w:rPr>
      </w:pPr>
      <w:r w:rsidRPr="00273959">
        <w:rPr>
          <w:rFonts w:asciiTheme="minorHAnsi" w:eastAsia="MS Mincho" w:hAnsiTheme="minorHAnsi"/>
          <w:color w:val="auto"/>
          <w:lang w:eastAsia="ja-JP"/>
        </w:rPr>
        <w:t xml:space="preserve">While the number of fixed-broadband subscriptions has increased substantially over the last years and while service providers offer increasingly higher speeds, </w:t>
      </w:r>
      <w:r w:rsidRPr="00273959">
        <w:rPr>
          <w:rFonts w:ascii="Calibri" w:eastAsiaTheme="minorEastAsia" w:hAnsi="Calibri" w:cs="Calibri"/>
          <w:color w:val="auto"/>
          <w:lang w:val="en-US"/>
        </w:rPr>
        <w:t>fixed Internet broadband can vary tremendously by speed, thus affecting the quality and functionality of Internet access.</w:t>
      </w:r>
      <w:r w:rsidRPr="00273959">
        <w:rPr>
          <w:rFonts w:asciiTheme="minorHAnsi" w:eastAsia="MS Mincho" w:hAnsiTheme="minorHAnsi"/>
          <w:color w:val="auto"/>
          <w:lang w:eastAsia="ja-JP"/>
        </w:rPr>
        <w:t xml:space="preserve"> Many countries, especially in the developing world, have not only a very limited amount of fixed-broadband subscriptions, but also at very low speeds. This limitation is a barrier to the Target 17.6 and the indicator highlights the potential of the Internet (especially through high-speed access) to enhance cooperation, improve access to science, technology and innovation, and share knowledge. The indicator also highlights the importance of Internet use as a development enabler and helps to measure the digital divide, which, if not properly addressed, will aggravate inequalities in all development domains. </w:t>
      </w:r>
      <w:r w:rsidRPr="00273959">
        <w:rPr>
          <w:rFonts w:asciiTheme="minorHAnsi" w:eastAsiaTheme="minorEastAsia" w:hAnsiTheme="minorHAnsi" w:cs="Arial"/>
          <w:color w:val="auto"/>
          <w:lang w:val="en-US"/>
        </w:rPr>
        <w:t>Information on fixed broadband subscriptions by speed will contribute to the design of targeted policies to overcome those divides.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3" w:name="_Toc419471294"/>
      <w:r w:rsidRPr="00273959">
        <w:rPr>
          <w:rFonts w:asciiTheme="majorHAnsi" w:eastAsiaTheme="majorEastAsia" w:hAnsiTheme="majorHAnsi" w:cstheme="majorBidi"/>
          <w:b/>
          <w:bCs/>
          <w:color w:val="365F91" w:themeColor="accent1" w:themeShade="BF"/>
          <w:sz w:val="28"/>
          <w:szCs w:val="28"/>
          <w:lang w:eastAsia="ja-JP"/>
        </w:rPr>
        <w:t>Sources and data collection</w:t>
      </w:r>
      <w:bookmarkEnd w:id="13"/>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rPr>
        <w:t xml:space="preserve">The indicator </w:t>
      </w:r>
      <w:r w:rsidRPr="00273959">
        <w:rPr>
          <w:rFonts w:asciiTheme="minorHAnsi" w:eastAsia="MS Mincho" w:hAnsiTheme="minorHAnsi" w:cs="Calibri,Italic"/>
          <w:i/>
          <w:iCs/>
          <w:color w:val="auto"/>
          <w:lang w:val="en-US"/>
        </w:rPr>
        <w:t>fixed Internet broadband subscriptions, by speed</w:t>
      </w:r>
      <w:r w:rsidRPr="00273959">
        <w:rPr>
          <w:rFonts w:asciiTheme="minorHAnsi" w:eastAsia="MS Mincho" w:hAnsiTheme="minorHAnsi"/>
          <w:color w:val="auto"/>
          <w:lang w:val="en-US"/>
        </w:rPr>
        <w:t xml:space="preserve"> is based on an internationally agreed definition and methodology, which have been developed under the coordination of ITU, through its Expert Groups and following an extensive consultation process with countries. It is </w:t>
      </w:r>
      <w:r w:rsidRPr="00273959">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w:t>
      </w:r>
      <w:r w:rsidRPr="00273959">
        <w:rPr>
          <w:rFonts w:asciiTheme="minorHAnsi" w:eastAsiaTheme="minorEastAsia" w:hAnsiTheme="minorHAnsi" w:cs="Arial"/>
          <w:color w:val="auto"/>
          <w:lang w:val="en-US"/>
        </w:rPr>
        <w:t xml:space="preserve">The indicator on fixed Internet broadband subscriptions is also included in the ITU ICT Development Index (IDI), and thus considered a key metric for international comparisons of ICT developments. In the future, as more countries collect data on this indicator broken down by speed, breakdowns could be included and used to calculate the IDI. </w:t>
      </w:r>
    </w:p>
    <w:p w:rsidR="00273959" w:rsidRPr="00273959" w:rsidRDefault="00273959" w:rsidP="00273959">
      <w:pPr>
        <w:autoSpaceDE w:val="0"/>
        <w:autoSpaceDN w:val="0"/>
        <w:adjustRightInd w:val="0"/>
        <w:rPr>
          <w:rFonts w:asciiTheme="minorHAnsi" w:eastAsia="MS Mincho" w:hAnsiTheme="minorHAnsi"/>
          <w:color w:val="auto"/>
          <w:lang w:eastAsia="ja-JP"/>
        </w:rPr>
      </w:pPr>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ITU collects data for this indicator through an annual questionnaire from national regulatory authorities or Information and Communication Technology Ministries, who collect the data from Internet service providers. By 2014, data were available for about 80 economies, from developed and developing regions, and covering all key global regions. Data on fixed-</w:t>
      </w:r>
      <w:r w:rsidRPr="00273959">
        <w:rPr>
          <w:rFonts w:asciiTheme="minorHAnsi" w:eastAsia="MS Mincho" w:hAnsiTheme="minorHAnsi"/>
          <w:color w:val="auto"/>
          <w:lang w:eastAsia="ja-JP"/>
        </w:rPr>
        <w:lastRenderedPageBreak/>
        <w:t>broadband subscriptions (not broken down by speed) exist for almost 200 economies in the world. ITU publishes data on this indicator yearly.</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4" w:name="_Toc419471295"/>
      <w:r w:rsidRPr="00273959">
        <w:rPr>
          <w:rFonts w:asciiTheme="majorHAnsi" w:eastAsiaTheme="majorEastAsia" w:hAnsiTheme="majorHAnsi" w:cstheme="majorBidi"/>
          <w:b/>
          <w:bCs/>
          <w:color w:val="365F91" w:themeColor="accent1" w:themeShade="BF"/>
          <w:sz w:val="28"/>
          <w:szCs w:val="28"/>
          <w:lang w:eastAsia="ja-JP"/>
        </w:rPr>
        <w:t>Disaggregation</w:t>
      </w:r>
      <w:bookmarkEnd w:id="14"/>
    </w:p>
    <w:p w:rsidR="00273959" w:rsidRPr="00273959" w:rsidRDefault="00273959" w:rsidP="00273959">
      <w:pPr>
        <w:keepNext/>
        <w:keepLines/>
        <w:rPr>
          <w:rFonts w:asciiTheme="minorHAnsi" w:eastAsia="MS Mincho" w:hAnsiTheme="minorHAnsi"/>
          <w:bCs/>
          <w:color w:val="auto"/>
          <w:lang w:eastAsia="ja-JP"/>
        </w:rPr>
      </w:pPr>
      <w:r w:rsidRPr="00273959">
        <w:rPr>
          <w:rFonts w:asciiTheme="minorHAnsi" w:eastAsia="MS Mincho" w:hAnsiTheme="minorHAnsi"/>
          <w:color w:val="auto"/>
        </w:rPr>
        <w:t xml:space="preserve">Since data for this indicator are based on administrative data from operators, no information on individual subscribers is available and therefore the data cannot be broken down by any individual characteristics. Data could in theory be broken down by geographic location and urban/rural, but ITU does not collect this information.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5" w:name="_Toc419471296"/>
      <w:r w:rsidRPr="00273959">
        <w:rPr>
          <w:rFonts w:asciiTheme="majorHAnsi" w:eastAsiaTheme="majorEastAsia" w:hAnsiTheme="majorHAnsi" w:cstheme="majorBidi"/>
          <w:b/>
          <w:bCs/>
          <w:color w:val="365F91" w:themeColor="accent1" w:themeShade="BF"/>
          <w:sz w:val="28"/>
          <w:szCs w:val="28"/>
          <w:lang w:eastAsia="ja-JP"/>
        </w:rPr>
        <w:t>Comments and limitations</w:t>
      </w:r>
      <w:bookmarkEnd w:id="15"/>
    </w:p>
    <w:p w:rsidR="00273959" w:rsidRPr="00273959" w:rsidRDefault="00273959" w:rsidP="00273959">
      <w:pPr>
        <w:autoSpaceDE w:val="0"/>
        <w:autoSpaceDN w:val="0"/>
        <w:adjustRightInd w:val="0"/>
        <w:rPr>
          <w:rFonts w:asciiTheme="minorHAnsi" w:eastAsia="MS Mincho" w:hAnsiTheme="minorHAnsi"/>
          <w:b/>
          <w:color w:val="auto"/>
          <w:lang w:eastAsia="ja-JP"/>
        </w:rPr>
      </w:pPr>
      <w:r w:rsidRPr="00273959">
        <w:rPr>
          <w:rFonts w:ascii="Calibri" w:eastAsiaTheme="minorEastAsia" w:hAnsi="Calibri" w:cs="Calibri"/>
          <w:color w:val="auto"/>
          <w:lang w:val="en-US"/>
        </w:rPr>
        <w:t xml:space="preserve">Since most </w:t>
      </w:r>
      <w:r w:rsidRPr="00273959">
        <w:rPr>
          <w:rFonts w:asciiTheme="minorHAnsi" w:eastAsia="MS Mincho" w:hAnsiTheme="minorHAnsi"/>
          <w:color w:val="auto"/>
          <w:lang w:eastAsia="ja-JP"/>
        </w:rPr>
        <w:t>Internet service providers</w:t>
      </w:r>
      <w:r w:rsidRPr="00273959">
        <w:rPr>
          <w:rFonts w:ascii="Calibri" w:eastAsiaTheme="minorEastAsia" w:hAnsi="Calibri" w:cs="Calibri"/>
          <w:color w:val="auto"/>
        </w:rPr>
        <w:t xml:space="preserve"> </w:t>
      </w:r>
      <w:r w:rsidRPr="00273959">
        <w:rPr>
          <w:rFonts w:ascii="Calibri" w:eastAsiaTheme="minorEastAsia" w:hAnsi="Calibri" w:cs="Calibri"/>
          <w:color w:val="auto"/>
          <w:lang w:val="en-US"/>
        </w:rPr>
        <w:t xml:space="preserve">offer plans linked to download speed, the indicator is relatively straightforward to collect. Countries may use packages that do not align with the speeds used for this group of indicators. Countries are encouraged to collect the data in more speed categories so as to allow aggregation of the data according to the split shown above. In the future, ITU might start to include higher-speed categories, reflecting the increasing demand and availability of higher-speed broadband subscriptions.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6" w:name="_Toc419471297"/>
      <w:r w:rsidRPr="00273959">
        <w:rPr>
          <w:rFonts w:asciiTheme="majorHAnsi" w:eastAsiaTheme="majorEastAsia" w:hAnsiTheme="majorHAnsi" w:cstheme="majorBidi"/>
          <w:b/>
          <w:bCs/>
          <w:color w:val="365F91" w:themeColor="accent1" w:themeShade="BF"/>
          <w:sz w:val="28"/>
          <w:szCs w:val="28"/>
          <w:lang w:eastAsia="ja-JP"/>
        </w:rPr>
        <w:t>Gender equality issues</w:t>
      </w:r>
      <w:bookmarkEnd w:id="16"/>
    </w:p>
    <w:p w:rsidR="00273959" w:rsidRPr="00273959" w:rsidRDefault="00273959" w:rsidP="00273959">
      <w:pPr>
        <w:autoSpaceDE w:val="0"/>
        <w:autoSpaceDN w:val="0"/>
        <w:adjustRightInd w:val="0"/>
        <w:rPr>
          <w:rFonts w:asciiTheme="minorHAnsi" w:eastAsia="MS Mincho" w:hAnsiTheme="minorHAnsi"/>
          <w:bCs/>
          <w:color w:val="auto"/>
          <w:lang w:eastAsia="ja-JP"/>
        </w:rPr>
      </w:pPr>
      <w:r w:rsidRPr="00273959">
        <w:rPr>
          <w:rFonts w:asciiTheme="minorHAnsi" w:eastAsia="MS Mincho" w:hAnsiTheme="minorHAnsi"/>
          <w:color w:val="auto"/>
        </w:rPr>
        <w:t xml:space="preserve">Data cannot be broken down by gender.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7" w:name="_Toc419471298"/>
      <w:r w:rsidRPr="00273959">
        <w:rPr>
          <w:rFonts w:asciiTheme="majorHAnsi" w:eastAsiaTheme="majorEastAsia" w:hAnsiTheme="majorHAnsi" w:cstheme="majorBidi"/>
          <w:b/>
          <w:bCs/>
          <w:color w:val="365F91" w:themeColor="accent1" w:themeShade="BF"/>
          <w:sz w:val="28"/>
          <w:szCs w:val="28"/>
          <w:lang w:eastAsia="ja-JP"/>
        </w:rPr>
        <w:t>Data for global and regional monitoring</w:t>
      </w:r>
      <w:bookmarkEnd w:id="17"/>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 xml:space="preserve">Regional and global aggregates of the number of </w:t>
      </w:r>
      <w:r w:rsidRPr="00273959">
        <w:rPr>
          <w:rFonts w:asciiTheme="minorHAnsi" w:eastAsia="MS Mincho" w:hAnsiTheme="minorHAnsi" w:cs="Calibri,Italic"/>
          <w:i/>
          <w:iCs/>
          <w:color w:val="auto"/>
          <w:lang w:val="en-US"/>
        </w:rPr>
        <w:t>fixed Internet broadband subscriptions, by speed</w:t>
      </w:r>
      <w:r w:rsidRPr="00273959">
        <w:rPr>
          <w:rFonts w:asciiTheme="minorHAnsi" w:eastAsia="MS Mincho" w:hAnsiTheme="minorHAnsi" w:cs="Calibri,Italic"/>
          <w:color w:val="auto"/>
          <w:lang w:val="en-US"/>
        </w:rPr>
        <w:t xml:space="preserve"> have not yet been produced since data exist for about 80 economies (in 2014). However, more countries are expected to provide information on this indicator over the next few years, which will allow ITU to produce regional and global estimates. Data on fixed-broadband subscriptions not broken down by speed are widely available, and regional and global aggregates can easily be produced.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8" w:name="_Toc419471299"/>
      <w:r w:rsidRPr="00273959">
        <w:rPr>
          <w:rFonts w:asciiTheme="majorHAnsi" w:eastAsiaTheme="majorEastAsia" w:hAnsiTheme="majorHAnsi" w:cstheme="majorBidi"/>
          <w:b/>
          <w:bCs/>
          <w:color w:val="365F91" w:themeColor="accent1" w:themeShade="BF"/>
          <w:sz w:val="28"/>
          <w:szCs w:val="28"/>
          <w:lang w:eastAsia="ja-JP"/>
        </w:rPr>
        <w:t>Supplementary information</w:t>
      </w:r>
      <w:bookmarkEnd w:id="18"/>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 xml:space="preserve">Year-end data are released in December of the following year through the ITU World Telecommunication/ICT Indicators Database. </w:t>
      </w:r>
    </w:p>
    <w:p w:rsidR="00273959" w:rsidRPr="00273959" w:rsidRDefault="00273959" w:rsidP="00273959">
      <w:pPr>
        <w:rPr>
          <w:rFonts w:asciiTheme="minorHAnsi" w:eastAsia="MS Mincho" w:hAnsiTheme="minorHAnsi"/>
          <w:color w:val="auto"/>
          <w:lang w:eastAsia="ja-JP"/>
        </w:rPr>
      </w:pP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9" w:name="_Toc419471300"/>
      <w:r w:rsidRPr="00273959">
        <w:rPr>
          <w:rFonts w:asciiTheme="majorHAnsi" w:eastAsiaTheme="majorEastAsia" w:hAnsiTheme="majorHAnsi" w:cstheme="majorBidi"/>
          <w:b/>
          <w:bCs/>
          <w:color w:val="365F91" w:themeColor="accent1" w:themeShade="BF"/>
          <w:sz w:val="28"/>
          <w:szCs w:val="28"/>
          <w:lang w:eastAsia="ja-JP"/>
        </w:rPr>
        <w:t>References:</w:t>
      </w:r>
      <w:bookmarkEnd w:id="19"/>
    </w:p>
    <w:p w:rsidR="00273959" w:rsidRPr="00273959" w:rsidRDefault="00273959" w:rsidP="00273959">
      <w:pPr>
        <w:numPr>
          <w:ilvl w:val="0"/>
          <w:numId w:val="2"/>
        </w:numPr>
        <w:ind w:left="720"/>
        <w:contextualSpacing/>
        <w:rPr>
          <w:rFonts w:asciiTheme="minorHAnsi" w:eastAsia="MS Mincho" w:hAnsiTheme="minorHAnsi"/>
          <w:color w:val="auto"/>
          <w:sz w:val="22"/>
          <w:szCs w:val="22"/>
          <w:lang w:eastAsia="ja-JP"/>
        </w:rPr>
      </w:pPr>
      <w:hyperlink r:id="rId6" w:history="1">
        <w:r w:rsidRPr="00273959">
          <w:rPr>
            <w:rFonts w:asciiTheme="minorHAnsi" w:eastAsia="MS Mincho" w:hAnsiTheme="minorHAnsi" w:cs="Segoe UI"/>
            <w:color w:val="auto"/>
            <w:lang w:val="en-US" w:eastAsia="ja-JP"/>
          </w:rPr>
          <w:t>ITU Handbook for the Collection of Administrative Data on Telecommunications/ICT</w:t>
        </w:r>
      </w:hyperlink>
      <w:r w:rsidRPr="00273959">
        <w:rPr>
          <w:rFonts w:asciiTheme="minorHAnsi" w:eastAsia="MS Mincho" w:hAnsiTheme="minorHAnsi" w:cs="Segoe UI"/>
          <w:color w:val="auto"/>
          <w:lang w:val="en-US" w:eastAsia="ja-JP"/>
        </w:rPr>
        <w:t>, 2011, (and revisions and new indicators)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20" w:name="_Toc419471301"/>
      <w:r w:rsidRPr="00273959">
        <w:rPr>
          <w:rFonts w:asciiTheme="majorHAnsi" w:eastAsiaTheme="majorEastAsia" w:hAnsiTheme="majorHAnsi" w:cstheme="majorBidi"/>
          <w:b/>
          <w:bCs/>
          <w:color w:val="365F91" w:themeColor="accent1" w:themeShade="BF"/>
          <w:sz w:val="28"/>
          <w:szCs w:val="28"/>
          <w:lang w:eastAsia="ja-JP"/>
        </w:rPr>
        <w:lastRenderedPageBreak/>
        <w:t>Targets for which indicator are relevant:</w:t>
      </w:r>
      <w:bookmarkEnd w:id="20"/>
    </w:p>
    <w:p w:rsidR="00273959" w:rsidRPr="00273959" w:rsidRDefault="00273959" w:rsidP="00273959">
      <w:pPr>
        <w:contextualSpacing/>
        <w:rPr>
          <w:rFonts w:asciiTheme="minorHAnsi" w:eastAsia="MS Mincho" w:hAnsiTheme="minorHAnsi"/>
          <w:color w:val="auto"/>
          <w:lang w:eastAsia="ja-JP"/>
        </w:rPr>
      </w:pPr>
      <w:r w:rsidRPr="00273959">
        <w:rPr>
          <w:rFonts w:asciiTheme="minorHAnsi" w:eastAsia="MS Mincho" w:hAnsiTheme="minorHAnsi"/>
          <w:color w:val="auto"/>
          <w:lang w:eastAsia="ja-JP"/>
        </w:rPr>
        <w:t>8.2, 9.1, 9.c, 17.6</w:t>
      </w:r>
    </w:p>
    <w:p w:rsidR="00273959" w:rsidRPr="00273959" w:rsidRDefault="00273959" w:rsidP="00273959">
      <w:pPr>
        <w:contextualSpacing/>
        <w:rPr>
          <w:rFonts w:asciiTheme="minorHAnsi" w:eastAsia="MS Mincho" w:hAnsiTheme="minorHAnsi"/>
          <w:color w:val="auto"/>
          <w:lang w:eastAsia="ja-JP"/>
        </w:rPr>
      </w:pPr>
    </w:p>
    <w:p w:rsidR="00273959" w:rsidRPr="00273959" w:rsidRDefault="00273959" w:rsidP="00273959">
      <w:pPr>
        <w:tabs>
          <w:tab w:val="left" w:pos="4962"/>
        </w:tabs>
        <w:rPr>
          <w:rFonts w:asciiTheme="minorHAnsi" w:eastAsia="MS Mincho" w:hAnsiTheme="minorHAnsi"/>
          <w:color w:val="auto"/>
          <w:lang w:eastAsia="ja-JP"/>
        </w:rPr>
        <w:sectPr w:rsidR="00273959" w:rsidRPr="00273959">
          <w:pgSz w:w="12240" w:h="15840"/>
          <w:pgMar w:top="1440" w:right="1440" w:bottom="1440" w:left="1440" w:header="708" w:footer="708" w:gutter="0"/>
          <w:cols w:space="708"/>
          <w:docGrid w:linePitch="360"/>
        </w:sectPr>
      </w:pPr>
    </w:p>
    <w:p w:rsidR="00273959" w:rsidRPr="00273959" w:rsidRDefault="00273959" w:rsidP="00273959">
      <w:pPr>
        <w:autoSpaceDE w:val="0"/>
        <w:autoSpaceDN w:val="0"/>
        <w:adjustRightInd w:val="0"/>
        <w:jc w:val="center"/>
        <w:outlineLvl w:val="1"/>
        <w:rPr>
          <w:rFonts w:asciiTheme="majorHAnsi" w:eastAsiaTheme="majorEastAsia" w:hAnsiTheme="majorHAnsi" w:cstheme="majorBidi"/>
          <w:b/>
          <w:bCs/>
          <w:color w:val="365F91" w:themeColor="accent1" w:themeShade="BF"/>
          <w:sz w:val="28"/>
          <w:szCs w:val="28"/>
          <w:lang w:eastAsia="ja-JP"/>
        </w:rPr>
      </w:pPr>
    </w:p>
    <w:p w:rsidR="00273959" w:rsidRPr="00273959" w:rsidRDefault="00273959" w:rsidP="00273959">
      <w:pPr>
        <w:autoSpaceDE w:val="0"/>
        <w:autoSpaceDN w:val="0"/>
        <w:adjustRightInd w:val="0"/>
        <w:jc w:val="center"/>
        <w:outlineLvl w:val="1"/>
        <w:rPr>
          <w:rFonts w:asciiTheme="majorHAnsi" w:eastAsiaTheme="majorEastAsia" w:hAnsiTheme="majorHAnsi" w:cstheme="majorBidi"/>
          <w:b/>
          <w:bCs/>
          <w:color w:val="365F91" w:themeColor="accent1" w:themeShade="BF"/>
          <w:sz w:val="32"/>
          <w:szCs w:val="32"/>
          <w:lang w:eastAsia="ja-JP"/>
        </w:rPr>
      </w:pPr>
      <w:bookmarkStart w:id="21" w:name="_Toc419471302"/>
      <w:bookmarkStart w:id="22" w:name="_Toc419471516"/>
      <w:bookmarkStart w:id="23" w:name="_Toc419471771"/>
      <w:bookmarkStart w:id="24" w:name="_Toc419472848"/>
      <w:r w:rsidRPr="00273959">
        <w:rPr>
          <w:rFonts w:asciiTheme="majorHAnsi" w:eastAsiaTheme="majorEastAsia" w:hAnsiTheme="majorHAnsi" w:cstheme="majorBidi"/>
          <w:b/>
          <w:bCs/>
          <w:color w:val="365F91" w:themeColor="accent1" w:themeShade="BF"/>
          <w:sz w:val="32"/>
          <w:szCs w:val="32"/>
          <w:lang w:eastAsia="ja-JP"/>
        </w:rPr>
        <w:t>Technical information sheet for the proposed SDG indicator “Proportion of individuals using the Internet”</w:t>
      </w:r>
      <w:bookmarkEnd w:id="21"/>
      <w:bookmarkEnd w:id="22"/>
      <w:bookmarkEnd w:id="23"/>
      <w:bookmarkEnd w:id="24"/>
    </w:p>
    <w:p w:rsidR="00273959" w:rsidRPr="00273959" w:rsidRDefault="00273959" w:rsidP="00273959">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73959" w:rsidRPr="00273959" w:rsidRDefault="00273959" w:rsidP="00273959">
      <w:pPr>
        <w:autoSpaceDE w:val="0"/>
        <w:autoSpaceDN w:val="0"/>
        <w:adjustRightInd w:val="0"/>
        <w:outlineLvl w:val="1"/>
        <w:rPr>
          <w:rFonts w:asciiTheme="minorHAnsi" w:eastAsia="SimSun" w:hAnsiTheme="minorHAnsi"/>
          <w:b/>
          <w:bCs/>
          <w:color w:val="auto"/>
          <w:sz w:val="32"/>
          <w:szCs w:val="32"/>
          <w:lang w:eastAsia="zh-CN"/>
        </w:rPr>
      </w:pPr>
      <w:bookmarkStart w:id="25" w:name="_Toc419471303"/>
      <w:r w:rsidRPr="00273959">
        <w:rPr>
          <w:rFonts w:asciiTheme="majorHAnsi" w:eastAsiaTheme="majorEastAsia" w:hAnsiTheme="majorHAnsi" w:cstheme="majorBidi"/>
          <w:b/>
          <w:bCs/>
          <w:color w:val="365F91" w:themeColor="accent1" w:themeShade="BF"/>
          <w:sz w:val="28"/>
          <w:szCs w:val="28"/>
          <w:lang w:eastAsia="ja-JP"/>
        </w:rPr>
        <w:t>Goal and target addressed:</w:t>
      </w:r>
      <w:bookmarkEnd w:id="25"/>
      <w:r w:rsidRPr="00273959">
        <w:rPr>
          <w:rFonts w:asciiTheme="minorHAnsi" w:eastAsia="SimSun" w:hAnsiTheme="minorHAnsi"/>
          <w:b/>
          <w:bCs/>
          <w:color w:val="auto"/>
          <w:sz w:val="32"/>
          <w:szCs w:val="32"/>
          <w:lang w:eastAsia="zh-CN"/>
        </w:rPr>
        <w:t xml:space="preserve"> </w:t>
      </w:r>
    </w:p>
    <w:p w:rsidR="00273959" w:rsidRPr="00273959" w:rsidRDefault="00273959" w:rsidP="00273959">
      <w:pPr>
        <w:rPr>
          <w:rFonts w:asciiTheme="minorHAnsi" w:eastAsia="MS Mincho" w:hAnsiTheme="minorHAnsi"/>
          <w:color w:val="auto"/>
          <w:lang w:eastAsia="ja-JP"/>
        </w:rPr>
      </w:pPr>
      <w:bookmarkStart w:id="26" w:name="_Toc419471304"/>
      <w:bookmarkStart w:id="27" w:name="_Toc419471772"/>
      <w:bookmarkStart w:id="28" w:name="_Toc419472849"/>
      <w:r w:rsidRPr="00273959">
        <w:rPr>
          <w:rFonts w:asciiTheme="minorHAnsi" w:eastAsia="MS Mincho" w:hAnsiTheme="minorHAnsi"/>
          <w:color w:val="auto"/>
          <w:lang w:eastAsia="ja-JP"/>
        </w:rPr>
        <w:t>Goal 17: Strengthen the means of implementation and revitalize the global partnership for sustainable development</w:t>
      </w:r>
      <w:bookmarkEnd w:id="26"/>
      <w:bookmarkEnd w:id="27"/>
      <w:bookmarkEnd w:id="28"/>
    </w:p>
    <w:p w:rsidR="00273959" w:rsidRPr="00273959" w:rsidRDefault="00273959" w:rsidP="00273959">
      <w:pPr>
        <w:rPr>
          <w:rFonts w:asciiTheme="minorHAnsi" w:eastAsia="MS Mincho" w:hAnsiTheme="minorHAnsi"/>
          <w:color w:val="auto"/>
          <w:lang w:eastAsia="ja-JP"/>
        </w:rPr>
      </w:pPr>
      <w:bookmarkStart w:id="29" w:name="_Toc419471305"/>
      <w:bookmarkStart w:id="30" w:name="_Toc419471773"/>
      <w:bookmarkStart w:id="31" w:name="_Toc419472850"/>
      <w:r w:rsidRPr="00273959">
        <w:rPr>
          <w:rFonts w:asciiTheme="minorHAnsi" w:eastAsia="MS Mincho" w:hAnsiTheme="minorHAnsi"/>
          <w:color w:val="auto"/>
          <w:lang w:eastAsia="ja-JP"/>
        </w:rPr>
        <w:t>Target 17.8: fully operationalize the Technology Bank and STI (Science, Technology and Innovation) capacity building mechanism for LDCs by 2017, and enhance the use of enabling technologies in particular ICT</w:t>
      </w:r>
      <w:bookmarkEnd w:id="29"/>
      <w:bookmarkEnd w:id="30"/>
      <w:bookmarkEnd w:id="31"/>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32" w:name="_Toc419471306"/>
      <w:r w:rsidRPr="00273959">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32"/>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rPr>
        <w:t xml:space="preserve">The indicator </w:t>
      </w:r>
      <w:r w:rsidRPr="00273959">
        <w:rPr>
          <w:rFonts w:asciiTheme="minorHAnsi" w:eastAsia="MS Mincho" w:hAnsiTheme="minorHAnsi"/>
          <w:i/>
          <w:iCs/>
          <w:color w:val="auto"/>
          <w:lang w:val="en-US"/>
        </w:rPr>
        <w:t>proportion of individuals using the Internet</w:t>
      </w:r>
      <w:r w:rsidRPr="00273959">
        <w:rPr>
          <w:rFonts w:asciiTheme="minorHAnsi" w:eastAsia="MS Mincho" w:hAnsiTheme="minorHAnsi"/>
          <w:color w:val="auto"/>
          <w:lang w:val="en-US"/>
        </w:rPr>
        <w:t xml:space="preserve"> is defined as the proportion of individuals who used the Internet from any location in the last three months. The </w:t>
      </w:r>
      <w:r w:rsidRPr="00273959">
        <w:rPr>
          <w:rFonts w:asciiTheme="minorHAnsi" w:eastAsia="MS Mincho" w:hAnsiTheme="minorHAnsi"/>
          <w:i/>
          <w:iCs/>
          <w:color w:val="auto"/>
          <w:lang w:val="en-US"/>
        </w:rPr>
        <w:t xml:space="preserve">Internet </w:t>
      </w:r>
      <w:r w:rsidRPr="00273959">
        <w:rPr>
          <w:rFonts w:asciiTheme="minorHAnsi" w:eastAsia="MS Mincho" w:hAnsiTheme="minorHAnsi"/>
          <w:color w:val="auto"/>
          <w:lang w:val="en-US"/>
        </w:rPr>
        <w:t xml:space="preserve">is a worldwide public computer network. It provides access to a number of communication services including the World Wide Web and carries e-mail, news, entertainment and data files, irrespective of the device used (not assumed to be only via a computer </w:t>
      </w:r>
      <w:r w:rsidRPr="00273959">
        <w:rPr>
          <w:rFonts w:asciiTheme="minorHAnsi" w:eastAsia="MS Mincho" w:hAnsiTheme="minorHAnsi" w:cs="SymbolMT"/>
          <w:color w:val="auto"/>
          <w:lang w:val="en-US"/>
        </w:rPr>
        <w:t xml:space="preserve">− </w:t>
      </w:r>
      <w:r w:rsidRPr="00273959">
        <w:rPr>
          <w:rFonts w:asciiTheme="minorHAnsi" w:eastAsia="MS Mincho" w:hAnsiTheme="minorHAnsi"/>
          <w:color w:val="auto"/>
          <w:lang w:val="en-US"/>
        </w:rPr>
        <w:t>it may also be by mobile telephone, tablet, PDA, games machine, digital TV etc.). Access can be via a fixed or mobile network.</w:t>
      </w:r>
    </w:p>
    <w:p w:rsidR="00273959" w:rsidRPr="00273959" w:rsidRDefault="00273959" w:rsidP="00273959">
      <w:pPr>
        <w:rPr>
          <w:rFonts w:asciiTheme="minorHAnsi" w:eastAsia="MS Mincho" w:hAnsiTheme="minorHAnsi"/>
          <w:color w:val="auto"/>
          <w:lang w:val="en-US" w:eastAsia="zh-CN"/>
        </w:rPr>
      </w:pPr>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bCs/>
          <w:color w:val="auto"/>
          <w:lang w:eastAsia="ja-JP"/>
        </w:rPr>
        <w:t>For countries that collect data on this indicator through an official survey, this indicator is calculated by dividing the total number of in-scope individuals using the Internet (from any location) in the last 3 months by the total number of in-scope individuals. For countries that have not carried out a survey, data are estimated (by ITU) based on the number of Internet subscriptions and other socioeconomic indicators (GNI per capita) and on the time series data.</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3" w:name="_Toc419471307"/>
      <w:r w:rsidRPr="00273959">
        <w:rPr>
          <w:rFonts w:asciiTheme="majorHAnsi" w:eastAsiaTheme="majorEastAsia" w:hAnsiTheme="majorHAnsi" w:cstheme="majorBidi"/>
          <w:b/>
          <w:bCs/>
          <w:color w:val="365F91" w:themeColor="accent1" w:themeShade="BF"/>
          <w:sz w:val="28"/>
          <w:szCs w:val="28"/>
          <w:lang w:eastAsia="ja-JP"/>
        </w:rPr>
        <w:t>Rationale and interpretation</w:t>
      </w:r>
      <w:bookmarkEnd w:id="33"/>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 xml:space="preserve">The Internet has become an increasingly important tool to access public information, which is a relevant means to protect fundamental freedoms. The number of Internet users has increased substantially over the last decade and access to the Internet has changed the way people live, communicate, work and do business. Internet uptake is a key indicator tracked by policy makers and others to measure the development of the information society and the growth of Internet content – including user-generated content – provides access to increasing amounts of information and services. </w:t>
      </w:r>
    </w:p>
    <w:p w:rsidR="00273959" w:rsidRPr="00273959" w:rsidRDefault="00273959" w:rsidP="00273959">
      <w:pPr>
        <w:rPr>
          <w:rFonts w:asciiTheme="minorHAnsi" w:eastAsia="MS Mincho" w:hAnsiTheme="minorHAnsi"/>
          <w:color w:val="auto"/>
          <w:lang w:eastAsia="ja-JP"/>
        </w:rPr>
      </w:pPr>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 xml:space="preserve">Despite growth in networks, services and applications, information and communication technology (ICT) access and use is still far from equally distributed, and many people cannot yet benefit from the potential of the Internet. This indicator highlights the importance of Internet use as a development enabler and helps to measure the digital divide, which, if not properly addressed, will aggravate inequalities in all development domains. </w:t>
      </w:r>
      <w:r w:rsidRPr="00273959">
        <w:rPr>
          <w:rFonts w:asciiTheme="minorHAnsi" w:eastAsiaTheme="minorEastAsia" w:hAnsiTheme="minorHAnsi" w:cs="Arial"/>
          <w:color w:val="auto"/>
          <w:lang w:val="en-US"/>
        </w:rPr>
        <w:t>Classificatory variables for individuals using the Internet –</w:t>
      </w:r>
    </w:p>
    <w:p w:rsidR="00273959" w:rsidRPr="00273959" w:rsidRDefault="00273959" w:rsidP="00273959">
      <w:pPr>
        <w:rPr>
          <w:rFonts w:asciiTheme="minorHAnsi" w:eastAsiaTheme="minorEastAsia" w:hAnsiTheme="minorHAnsi" w:cs="Arial"/>
          <w:color w:val="auto"/>
          <w:lang w:val="en-US"/>
        </w:rPr>
      </w:pPr>
      <w:proofErr w:type="gramStart"/>
      <w:r w:rsidRPr="00273959">
        <w:rPr>
          <w:rFonts w:asciiTheme="minorHAnsi" w:eastAsiaTheme="minorEastAsia" w:hAnsiTheme="minorHAnsi" w:cs="Arial"/>
          <w:color w:val="auto"/>
          <w:lang w:val="en-US"/>
        </w:rPr>
        <w:lastRenderedPageBreak/>
        <w:t>such</w:t>
      </w:r>
      <w:proofErr w:type="gramEnd"/>
      <w:r w:rsidRPr="00273959">
        <w:rPr>
          <w:rFonts w:asciiTheme="minorHAnsi" w:eastAsiaTheme="minorEastAsia" w:hAnsiTheme="minorHAnsi" w:cs="Arial"/>
          <w:color w:val="auto"/>
          <w:lang w:val="en-US"/>
        </w:rPr>
        <w:t xml:space="preserve"> as age, sex, education level or </w:t>
      </w:r>
      <w:proofErr w:type="spellStart"/>
      <w:r w:rsidRPr="00273959">
        <w:rPr>
          <w:rFonts w:asciiTheme="minorHAnsi" w:eastAsiaTheme="minorEastAsia" w:hAnsiTheme="minorHAnsi" w:cs="Arial"/>
          <w:color w:val="auto"/>
          <w:lang w:val="en-US"/>
        </w:rPr>
        <w:t>labour</w:t>
      </w:r>
      <w:proofErr w:type="spellEnd"/>
      <w:r w:rsidRPr="00273959">
        <w:rPr>
          <w:rFonts w:asciiTheme="minorHAnsi" w:eastAsiaTheme="minorEastAsia" w:hAnsiTheme="minorHAnsi" w:cs="Arial"/>
          <w:color w:val="auto"/>
          <w:lang w:val="en-US"/>
        </w:rPr>
        <w:t xml:space="preserve"> force status – can help identify digital divides in individuals using the Internet. This information can contribute to the design of targeted policies to overcome those divides.</w:t>
      </w:r>
    </w:p>
    <w:p w:rsidR="00273959" w:rsidRPr="00273959" w:rsidRDefault="00273959" w:rsidP="00273959">
      <w:pPr>
        <w:rPr>
          <w:rFonts w:asciiTheme="minorHAnsi" w:eastAsiaTheme="minorEastAsia" w:hAnsiTheme="minorHAnsi" w:cs="Arial"/>
          <w:color w:val="auto"/>
          <w:lang w:val="en-US"/>
        </w:rPr>
      </w:pPr>
    </w:p>
    <w:p w:rsidR="00273959" w:rsidRPr="00273959" w:rsidRDefault="00273959" w:rsidP="00273959">
      <w:pPr>
        <w:rPr>
          <w:rFonts w:asciiTheme="minorHAnsi" w:eastAsiaTheme="minorEastAsia" w:hAnsiTheme="minorHAnsi" w:cs="Arial"/>
          <w:color w:val="auto"/>
          <w:lang w:val="en-US"/>
        </w:rPr>
      </w:pPr>
      <w:r w:rsidRPr="00273959">
        <w:rPr>
          <w:rFonts w:asciiTheme="minorHAnsi" w:eastAsiaTheme="minorEastAsia" w:hAnsiTheme="minorHAnsi" w:cs="Arial"/>
          <w:color w:val="auto"/>
          <w:lang w:val="en-US"/>
        </w:rPr>
        <w:t xml:space="preserve">The </w:t>
      </w:r>
      <w:r w:rsidRPr="00273959">
        <w:rPr>
          <w:rFonts w:asciiTheme="minorHAnsi" w:eastAsiaTheme="minorEastAsia" w:hAnsiTheme="minorHAnsi" w:cs="Arial"/>
          <w:i/>
          <w:iCs/>
          <w:color w:val="auto"/>
          <w:lang w:val="en-US"/>
        </w:rPr>
        <w:t>proportion of individuals using the Internet</w:t>
      </w:r>
      <w:r w:rsidRPr="00273959">
        <w:rPr>
          <w:rFonts w:asciiTheme="minorHAnsi" w:eastAsiaTheme="minorEastAsia" w:hAnsiTheme="minorHAnsi" w:cs="Arial"/>
          <w:color w:val="auto"/>
          <w:lang w:val="en-US"/>
        </w:rPr>
        <w:t xml:space="preserve"> is an established indicator and also one of the three ICT-related Millennium Development Goal (MDG) indicators (for Target 8F). It is part of the Partnership on Measuring ICT for Development's Core List of Indicators, which has been endorsed by the UN Statistical Commission (last time in 2014). It is also included in the ITU ICT Development Index, and thus considered a key metric for international comparisons of ICT developments.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4" w:name="_Toc419471308"/>
      <w:r w:rsidRPr="00273959">
        <w:rPr>
          <w:rFonts w:asciiTheme="majorHAnsi" w:eastAsiaTheme="majorEastAsia" w:hAnsiTheme="majorHAnsi" w:cstheme="majorBidi"/>
          <w:b/>
          <w:bCs/>
          <w:color w:val="365F91" w:themeColor="accent1" w:themeShade="BF"/>
          <w:sz w:val="28"/>
          <w:szCs w:val="28"/>
          <w:lang w:eastAsia="ja-JP"/>
        </w:rPr>
        <w:t>Sources and data collection</w:t>
      </w:r>
      <w:bookmarkEnd w:id="34"/>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val="en-US"/>
        </w:rPr>
        <w:t xml:space="preserve">The indicator </w:t>
      </w:r>
      <w:r w:rsidRPr="00273959">
        <w:rPr>
          <w:rFonts w:asciiTheme="minorHAnsi" w:eastAsia="MS Mincho" w:hAnsiTheme="minorHAnsi"/>
          <w:i/>
          <w:iCs/>
          <w:color w:val="auto"/>
          <w:lang w:val="en-US"/>
        </w:rPr>
        <w:t>proportion of individuals using the Internet</w:t>
      </w:r>
      <w:r w:rsidRPr="00273959">
        <w:rPr>
          <w:rFonts w:asciiTheme="minorHAnsi" w:eastAsia="MS Mincho" w:hAnsiTheme="minorHAnsi"/>
          <w:color w:val="auto"/>
          <w:lang w:val="en-US"/>
        </w:rPr>
        <w:t xml:space="preserve"> is based on an internationally agreed definition and methodology, which have been developed under the coordination of ITU, through its Expert Groups and following an extensive consultation process with countries. It is </w:t>
      </w:r>
      <w:r w:rsidRPr="00273959">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Data on individuals using the Internet are collected through an annual questionnaire that ITU sends to national statistical offices (NSO). In this questionnaire ITU collects absolute values. The percentages are calculated a-posteriori.  The survey methodology is verified to ensure that it meets adequate statistical standards. The data are verified to ensure consistency with previous years’ data and situation of the country for other related indicators (ICT and economic). </w:t>
      </w:r>
    </w:p>
    <w:p w:rsidR="00273959" w:rsidRPr="00273959" w:rsidRDefault="00273959" w:rsidP="00273959">
      <w:pPr>
        <w:autoSpaceDE w:val="0"/>
        <w:autoSpaceDN w:val="0"/>
        <w:adjustRightInd w:val="0"/>
        <w:rPr>
          <w:rFonts w:asciiTheme="minorHAnsi" w:eastAsia="MS Mincho" w:hAnsiTheme="minorHAnsi"/>
          <w:color w:val="auto"/>
          <w:lang w:eastAsia="ja-JP"/>
        </w:rPr>
      </w:pPr>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For most developed and an increasing number of developing countries, percentage of individuals using the Internet data are based on methodologically sound household surveys conducted by national statistical agencies. If the NSO has not collected Internet user statistics, then ITU estimates the percentage of individuals using the Internet.</w:t>
      </w:r>
    </w:p>
    <w:p w:rsidR="00273959" w:rsidRPr="00273959" w:rsidRDefault="00273959" w:rsidP="00273959">
      <w:pPr>
        <w:autoSpaceDE w:val="0"/>
        <w:autoSpaceDN w:val="0"/>
        <w:adjustRightInd w:val="0"/>
        <w:rPr>
          <w:rFonts w:asciiTheme="minorHAnsi" w:eastAsia="MS Mincho" w:hAnsiTheme="minorHAnsi"/>
          <w:color w:val="auto"/>
          <w:lang w:eastAsia="ja-JP"/>
        </w:rPr>
      </w:pPr>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Data are usually not adjusted, but discrepancies in the definition, age scope of individuals, reference period or the break in comparability between years are noted in a data note. For this reason, data are not always strictly comparable.</w:t>
      </w:r>
    </w:p>
    <w:p w:rsidR="00273959" w:rsidRPr="00273959" w:rsidRDefault="00273959" w:rsidP="00273959">
      <w:pPr>
        <w:rPr>
          <w:rFonts w:asciiTheme="minorHAnsi" w:eastAsia="MS Mincho" w:hAnsiTheme="minorHAnsi"/>
          <w:color w:val="auto"/>
          <w:lang w:eastAsia="ja-JP"/>
        </w:rPr>
      </w:pPr>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Some countries conduct a household survey where the question on Internet use is included every year. For others, the frequency is every two or three years. Overall, the indicator is available for 100 countries at least from one survey in the years 2011-2014.</w:t>
      </w:r>
    </w:p>
    <w:p w:rsidR="00273959" w:rsidRPr="00273959" w:rsidRDefault="00273959" w:rsidP="00273959">
      <w:pPr>
        <w:rPr>
          <w:rFonts w:asciiTheme="minorHAnsi" w:eastAsia="MS Mincho" w:hAnsiTheme="minorHAnsi"/>
          <w:color w:val="FF0000"/>
          <w:lang w:eastAsia="ja-JP"/>
        </w:rPr>
      </w:pPr>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ITU makes the indicator available for each year for 200 economies by using survey data and estimates for almost all countries of the world.</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5" w:name="_Toc419471309"/>
      <w:r w:rsidRPr="00273959">
        <w:rPr>
          <w:rFonts w:asciiTheme="majorHAnsi" w:eastAsiaTheme="majorEastAsia" w:hAnsiTheme="majorHAnsi" w:cstheme="majorBidi"/>
          <w:b/>
          <w:bCs/>
          <w:color w:val="365F91" w:themeColor="accent1" w:themeShade="BF"/>
          <w:sz w:val="28"/>
          <w:szCs w:val="28"/>
          <w:lang w:eastAsia="ja-JP"/>
        </w:rPr>
        <w:t>Disaggregation</w:t>
      </w:r>
      <w:bookmarkEnd w:id="35"/>
    </w:p>
    <w:p w:rsidR="00273959" w:rsidRPr="00273959" w:rsidRDefault="00273959" w:rsidP="00273959">
      <w:pPr>
        <w:rPr>
          <w:rFonts w:asciiTheme="minorHAnsi" w:eastAsia="MS Mincho" w:hAnsiTheme="minorHAnsi"/>
          <w:bCs/>
          <w:color w:val="auto"/>
          <w:lang w:eastAsia="ja-JP"/>
        </w:rPr>
      </w:pPr>
      <w:r w:rsidRPr="00273959">
        <w:rPr>
          <w:rFonts w:asciiTheme="minorHAnsi" w:eastAsia="MS Mincho" w:hAnsiTheme="minorHAnsi"/>
          <w:color w:val="auto"/>
        </w:rPr>
        <w:t xml:space="preserve">For countries that collect this data on the </w:t>
      </w:r>
      <w:r w:rsidRPr="00273959">
        <w:rPr>
          <w:rFonts w:asciiTheme="minorHAnsi" w:eastAsia="MS Mincho" w:hAnsiTheme="minorHAnsi"/>
          <w:i/>
          <w:iCs/>
          <w:color w:val="auto"/>
          <w:lang w:val="en-US"/>
        </w:rPr>
        <w:t>proportion of individuals using the Internet</w:t>
      </w:r>
      <w:r w:rsidRPr="00273959">
        <w:rPr>
          <w:rFonts w:asciiTheme="minorHAnsi" w:eastAsia="MS Mincho" w:hAnsiTheme="minorHAnsi"/>
          <w:color w:val="auto"/>
        </w:rPr>
        <w:t xml:space="preserve"> through an official survey, and if data </w:t>
      </w:r>
      <w:r w:rsidRPr="00273959">
        <w:rPr>
          <w:rFonts w:asciiTheme="minorHAnsi" w:eastAsia="MS Mincho" w:hAnsiTheme="minorHAnsi"/>
          <w:color w:val="auto"/>
          <w:lang w:val="en-US"/>
        </w:rPr>
        <w:t xml:space="preserve">allow breakdown and disaggregation, the indicator can be broken </w:t>
      </w:r>
      <w:r w:rsidRPr="00273959">
        <w:rPr>
          <w:rFonts w:asciiTheme="minorHAnsi" w:eastAsia="MS Mincho" w:hAnsiTheme="minorHAnsi"/>
          <w:color w:val="auto"/>
          <w:lang w:val="en-US"/>
        </w:rPr>
        <w:lastRenderedPageBreak/>
        <w:t xml:space="preserve">down by region (geographic and/or urban/rural), by sex, by age group, by educational level, by </w:t>
      </w:r>
      <w:proofErr w:type="spellStart"/>
      <w:r w:rsidRPr="00273959">
        <w:rPr>
          <w:rFonts w:asciiTheme="minorHAnsi" w:eastAsia="MS Mincho" w:hAnsiTheme="minorHAnsi"/>
          <w:color w:val="auto"/>
          <w:lang w:val="en-US"/>
        </w:rPr>
        <w:t>labour</w:t>
      </w:r>
      <w:proofErr w:type="spellEnd"/>
      <w:r w:rsidRPr="00273959">
        <w:rPr>
          <w:rFonts w:asciiTheme="minorHAnsi" w:eastAsia="MS Mincho" w:hAnsiTheme="minorHAnsi"/>
          <w:color w:val="auto"/>
          <w:lang w:val="en-US"/>
        </w:rPr>
        <w:t xml:space="preserve"> force status, and by occupation. ITU collects data for all of these breakdowns from countries.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6" w:name="_Toc419471310"/>
      <w:r w:rsidRPr="00273959">
        <w:rPr>
          <w:rFonts w:asciiTheme="majorHAnsi" w:eastAsiaTheme="majorEastAsia" w:hAnsiTheme="majorHAnsi" w:cstheme="majorBidi"/>
          <w:b/>
          <w:bCs/>
          <w:color w:val="365F91" w:themeColor="accent1" w:themeShade="BF"/>
          <w:sz w:val="28"/>
          <w:szCs w:val="28"/>
          <w:lang w:eastAsia="ja-JP"/>
        </w:rPr>
        <w:t>Comments and limitations</w:t>
      </w:r>
      <w:bookmarkEnd w:id="36"/>
    </w:p>
    <w:p w:rsidR="00273959" w:rsidRPr="00273959" w:rsidRDefault="00273959" w:rsidP="00273959">
      <w:pPr>
        <w:autoSpaceDE w:val="0"/>
        <w:autoSpaceDN w:val="0"/>
        <w:adjustRightInd w:val="0"/>
        <w:rPr>
          <w:rFonts w:asciiTheme="minorHAnsi" w:eastAsia="MS Mincho" w:hAnsiTheme="minorHAnsi"/>
          <w:b/>
          <w:color w:val="auto"/>
          <w:lang w:eastAsia="ja-JP"/>
        </w:rPr>
      </w:pPr>
      <w:r w:rsidRPr="00273959">
        <w:rPr>
          <w:rFonts w:asciiTheme="minorHAnsi" w:eastAsia="MS Mincho" w:hAnsiTheme="minorHAnsi"/>
          <w:color w:val="auto"/>
          <w:lang w:eastAsia="ja-JP"/>
        </w:rPr>
        <w:t xml:space="preserve">While the data on the percentage of individuals using the Internet are very reliable for countries that have collected the data through official household surveys, they are less reliable in cases where the number of Internet users is estimated by ITU. </w:t>
      </w:r>
      <w:r w:rsidRPr="00273959">
        <w:rPr>
          <w:rFonts w:asciiTheme="minorHAnsi" w:eastAsia="MS Mincho" w:hAnsiTheme="minorHAnsi"/>
          <w:bCs/>
          <w:color w:val="auto"/>
          <w:lang w:eastAsia="ja-JP"/>
        </w:rPr>
        <w:t xml:space="preserve">ITU is encouraging all countries to collect data on this indicator through official surveys and the number of countries with official data for this indicator is increasing.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7" w:name="_Toc419471311"/>
      <w:r w:rsidRPr="00273959">
        <w:rPr>
          <w:rFonts w:asciiTheme="majorHAnsi" w:eastAsiaTheme="majorEastAsia" w:hAnsiTheme="majorHAnsi" w:cstheme="majorBidi"/>
          <w:b/>
          <w:bCs/>
          <w:color w:val="365F91" w:themeColor="accent1" w:themeShade="BF"/>
          <w:sz w:val="28"/>
          <w:szCs w:val="28"/>
          <w:lang w:eastAsia="ja-JP"/>
        </w:rPr>
        <w:t>Gender equality issues</w:t>
      </w:r>
      <w:bookmarkEnd w:id="37"/>
    </w:p>
    <w:p w:rsidR="00273959" w:rsidRPr="00273959" w:rsidRDefault="00273959" w:rsidP="00273959">
      <w:pPr>
        <w:autoSpaceDE w:val="0"/>
        <w:autoSpaceDN w:val="0"/>
        <w:adjustRightInd w:val="0"/>
        <w:rPr>
          <w:rFonts w:asciiTheme="minorHAnsi" w:eastAsia="MS Mincho" w:hAnsiTheme="minorHAnsi"/>
          <w:bCs/>
          <w:color w:val="auto"/>
          <w:lang w:eastAsia="ja-JP"/>
        </w:rPr>
      </w:pPr>
      <w:r w:rsidRPr="00273959">
        <w:rPr>
          <w:rFonts w:asciiTheme="minorHAnsi" w:eastAsia="MS Mincho" w:hAnsiTheme="minorHAnsi"/>
          <w:color w:val="auto"/>
        </w:rPr>
        <w:t xml:space="preserve">Discrepancies exist between the proportion of men and women that use the Internet and it is important to track this gender divide. </w:t>
      </w:r>
      <w:proofErr w:type="gramStart"/>
      <w:r w:rsidRPr="00273959">
        <w:rPr>
          <w:rFonts w:asciiTheme="minorHAnsi" w:eastAsia="MS Mincho" w:hAnsiTheme="minorHAnsi"/>
          <w:color w:val="auto"/>
        </w:rPr>
        <w:t xml:space="preserve">For countries that collect this indicator through an official survey, and if data </w:t>
      </w:r>
      <w:r w:rsidRPr="00273959">
        <w:rPr>
          <w:rFonts w:asciiTheme="minorHAnsi" w:eastAsia="MS Mincho" w:hAnsiTheme="minorHAnsi"/>
          <w:color w:val="auto"/>
          <w:lang w:val="en-US"/>
        </w:rPr>
        <w:t>allow breakdown and disaggregation, the indicator can be broken down by sex.</w:t>
      </w:r>
      <w:proofErr w:type="gramEnd"/>
      <w:r w:rsidRPr="00273959">
        <w:rPr>
          <w:rFonts w:asciiTheme="minorHAnsi" w:eastAsia="MS Mincho" w:hAnsiTheme="minorHAnsi"/>
          <w:color w:val="auto"/>
          <w:lang w:val="en-US"/>
        </w:rPr>
        <w:t xml:space="preserve"> About 70 countries have sex-disaggregated data for this indicator for at least one year in the period 2011-2014 and more countries are expected to produce these data over the next years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8" w:name="_Toc419471312"/>
      <w:r w:rsidRPr="00273959">
        <w:rPr>
          <w:rFonts w:asciiTheme="majorHAnsi" w:eastAsiaTheme="majorEastAsia" w:hAnsiTheme="majorHAnsi" w:cstheme="majorBidi"/>
          <w:b/>
          <w:bCs/>
          <w:color w:val="365F91" w:themeColor="accent1" w:themeShade="BF"/>
          <w:sz w:val="28"/>
          <w:szCs w:val="28"/>
          <w:lang w:eastAsia="ja-JP"/>
        </w:rPr>
        <w:t>Data for global and regional monitoring</w:t>
      </w:r>
      <w:bookmarkEnd w:id="38"/>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 xml:space="preserve">Regional and global aggregates of the number of Internet users are calculated as </w:t>
      </w:r>
      <w:proofErr w:type="spellStart"/>
      <w:r w:rsidRPr="00273959">
        <w:rPr>
          <w:rFonts w:asciiTheme="minorHAnsi" w:eastAsia="MS Mincho" w:hAnsiTheme="minorHAnsi"/>
          <w:color w:val="auto"/>
          <w:lang w:eastAsia="ja-JP"/>
        </w:rPr>
        <w:t>unweighted</w:t>
      </w:r>
      <w:proofErr w:type="spellEnd"/>
      <w:r w:rsidRPr="00273959">
        <w:rPr>
          <w:rFonts w:asciiTheme="minorHAnsi" w:eastAsia="MS Mincho" w:hAnsiTheme="minorHAnsi"/>
          <w:color w:val="auto"/>
          <w:lang w:eastAsia="ja-JP"/>
        </w:rPr>
        <w:t xml:space="preserve"> sums of the country values. Regional and global values for the percentage of individuals using the Internet are averages of the country values weighted by the population of the countries and regions. They are widely available since ITU produces data for this indicator for 200 economies, covering the large majority of developed and developing countries, and all regions.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9" w:name="_Toc419471313"/>
      <w:r w:rsidRPr="00273959">
        <w:rPr>
          <w:rFonts w:asciiTheme="majorHAnsi" w:eastAsiaTheme="majorEastAsia" w:hAnsiTheme="majorHAnsi" w:cstheme="majorBidi"/>
          <w:b/>
          <w:bCs/>
          <w:color w:val="365F91" w:themeColor="accent1" w:themeShade="BF"/>
          <w:sz w:val="28"/>
          <w:szCs w:val="28"/>
          <w:lang w:eastAsia="ja-JP"/>
        </w:rPr>
        <w:t>Supplementary information</w:t>
      </w:r>
      <w:bookmarkEnd w:id="39"/>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Discrepancies between global and national figures may arise when countries use a different definition than the one agreed internationally and used by ITU. Discrepancies may also arise in cases where the age scope of the surveys differs, or when the country only provides data for a certain age group and not the total population. Year-end estimates are usually released in June of the following year through the ITU World Telecommunication/ICT Indicators Database. Data are also available at no cost through the ITU ICT Eye, see: http://www.itu.int/ITU-D/ict/</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0" w:name="_Toc419471314"/>
      <w:r w:rsidRPr="00273959">
        <w:rPr>
          <w:rFonts w:asciiTheme="majorHAnsi" w:eastAsiaTheme="majorEastAsia" w:hAnsiTheme="majorHAnsi" w:cstheme="majorBidi"/>
          <w:b/>
          <w:bCs/>
          <w:color w:val="365F91" w:themeColor="accent1" w:themeShade="BF"/>
          <w:sz w:val="28"/>
          <w:szCs w:val="28"/>
          <w:lang w:eastAsia="ja-JP"/>
        </w:rPr>
        <w:t>References:</w:t>
      </w:r>
      <w:bookmarkEnd w:id="40"/>
    </w:p>
    <w:p w:rsidR="00273959" w:rsidRPr="00273959" w:rsidRDefault="00273959" w:rsidP="00273959">
      <w:pPr>
        <w:numPr>
          <w:ilvl w:val="0"/>
          <w:numId w:val="1"/>
        </w:numPr>
        <w:contextualSpacing/>
        <w:rPr>
          <w:rFonts w:asciiTheme="minorHAnsi" w:eastAsia="MS Mincho" w:hAnsiTheme="minorHAnsi"/>
          <w:color w:val="auto"/>
          <w:lang w:eastAsia="ja-JP"/>
        </w:rPr>
      </w:pPr>
      <w:hyperlink r:id="rId7" w:history="1">
        <w:r w:rsidRPr="00273959">
          <w:rPr>
            <w:rFonts w:asciiTheme="minorHAnsi" w:eastAsia="MS Mincho" w:hAnsiTheme="minorHAnsi" w:cs="Segoe UI"/>
            <w:color w:val="0000FF"/>
            <w:sz w:val="22"/>
            <w:szCs w:val="22"/>
            <w:u w:val="single"/>
            <w:lang w:val="en-US" w:eastAsia="ja-JP"/>
          </w:rPr>
          <w:t>ITU Manual for Measuring ICT Access and Use by Households and Individuals 2014</w:t>
        </w:r>
      </w:hyperlink>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1" w:name="_Toc419471315"/>
      <w:r w:rsidRPr="00273959">
        <w:rPr>
          <w:rFonts w:asciiTheme="majorHAnsi" w:eastAsiaTheme="majorEastAsia" w:hAnsiTheme="majorHAnsi" w:cstheme="majorBidi"/>
          <w:b/>
          <w:bCs/>
          <w:color w:val="365F91" w:themeColor="accent1" w:themeShade="BF"/>
          <w:sz w:val="28"/>
          <w:szCs w:val="28"/>
          <w:lang w:eastAsia="ja-JP"/>
        </w:rPr>
        <w:t>Targets for which indicator are relevant:</w:t>
      </w:r>
      <w:bookmarkEnd w:id="41"/>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1.4, 2c, 5b, 9c, 10.3, 12.8, 16.10, 16.6, 16.7, 16.10, 17.6, 17.8,</w:t>
      </w:r>
    </w:p>
    <w:p w:rsidR="00273959" w:rsidRPr="00273959" w:rsidRDefault="00273959" w:rsidP="00273959">
      <w:pPr>
        <w:tabs>
          <w:tab w:val="left" w:pos="4962"/>
        </w:tabs>
        <w:rPr>
          <w:rFonts w:asciiTheme="minorHAnsi" w:eastAsia="MS Mincho" w:hAnsiTheme="minorHAnsi"/>
          <w:color w:val="auto"/>
          <w:lang w:eastAsia="ja-JP"/>
        </w:rPr>
        <w:sectPr w:rsidR="00273959" w:rsidRPr="00273959">
          <w:pgSz w:w="12240" w:h="15840"/>
          <w:pgMar w:top="1440" w:right="1440" w:bottom="1440" w:left="1440" w:header="708" w:footer="708" w:gutter="0"/>
          <w:cols w:space="708"/>
          <w:docGrid w:linePitch="360"/>
        </w:sectPr>
      </w:pPr>
    </w:p>
    <w:p w:rsidR="00273959" w:rsidRPr="00273959" w:rsidRDefault="00273959" w:rsidP="00273959">
      <w:pPr>
        <w:autoSpaceDE w:val="0"/>
        <w:autoSpaceDN w:val="0"/>
        <w:adjustRightInd w:val="0"/>
        <w:jc w:val="center"/>
        <w:outlineLvl w:val="1"/>
        <w:rPr>
          <w:rFonts w:asciiTheme="majorHAnsi" w:eastAsia="SimSun" w:hAnsiTheme="majorHAnsi"/>
          <w:b/>
          <w:bCs/>
          <w:color w:val="365F91" w:themeColor="accent1" w:themeShade="BF"/>
          <w:sz w:val="32"/>
          <w:szCs w:val="32"/>
          <w:lang w:eastAsia="zh-CN"/>
        </w:rPr>
      </w:pPr>
      <w:bookmarkStart w:id="42" w:name="_Toc419471316"/>
      <w:bookmarkStart w:id="43" w:name="_Toc419471517"/>
      <w:bookmarkStart w:id="44" w:name="_Toc419471774"/>
      <w:bookmarkStart w:id="45" w:name="_Toc419472851"/>
      <w:r w:rsidRPr="00273959">
        <w:rPr>
          <w:rFonts w:asciiTheme="majorHAnsi" w:eastAsia="SimSun" w:hAnsiTheme="majorHAnsi"/>
          <w:b/>
          <w:bCs/>
          <w:color w:val="365F91" w:themeColor="accent1" w:themeShade="BF"/>
          <w:sz w:val="32"/>
          <w:szCs w:val="32"/>
          <w:lang w:eastAsia="zh-CN"/>
        </w:rPr>
        <w:lastRenderedPageBreak/>
        <w:t>Technical information sheet for the proposed SDG indicator “International Internet bandwidth per inhabitant (bits/second/inhabitant)”</w:t>
      </w:r>
      <w:bookmarkEnd w:id="42"/>
      <w:bookmarkEnd w:id="43"/>
      <w:bookmarkEnd w:id="44"/>
      <w:bookmarkEnd w:id="45"/>
    </w:p>
    <w:p w:rsidR="00273959" w:rsidRPr="00273959" w:rsidRDefault="00273959" w:rsidP="00273959">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73959" w:rsidRPr="00273959" w:rsidRDefault="00273959" w:rsidP="00273959">
      <w:pPr>
        <w:autoSpaceDE w:val="0"/>
        <w:autoSpaceDN w:val="0"/>
        <w:adjustRightInd w:val="0"/>
        <w:outlineLvl w:val="1"/>
        <w:rPr>
          <w:rFonts w:asciiTheme="minorHAnsi" w:eastAsia="SimSun" w:hAnsiTheme="minorHAnsi"/>
          <w:b/>
          <w:bCs/>
          <w:color w:val="auto"/>
          <w:sz w:val="32"/>
          <w:szCs w:val="32"/>
          <w:lang w:eastAsia="zh-CN"/>
        </w:rPr>
      </w:pPr>
      <w:bookmarkStart w:id="46" w:name="_Toc419471317"/>
      <w:r w:rsidRPr="00273959">
        <w:rPr>
          <w:rFonts w:asciiTheme="majorHAnsi" w:eastAsiaTheme="majorEastAsia" w:hAnsiTheme="majorHAnsi" w:cstheme="majorBidi"/>
          <w:b/>
          <w:bCs/>
          <w:color w:val="365F91" w:themeColor="accent1" w:themeShade="BF"/>
          <w:sz w:val="28"/>
          <w:szCs w:val="28"/>
          <w:lang w:eastAsia="ja-JP"/>
        </w:rPr>
        <w:t>Goal and target addressed:</w:t>
      </w:r>
      <w:bookmarkEnd w:id="46"/>
      <w:r w:rsidRPr="00273959">
        <w:rPr>
          <w:rFonts w:asciiTheme="minorHAnsi" w:eastAsia="SimSun" w:hAnsiTheme="minorHAnsi"/>
          <w:b/>
          <w:bCs/>
          <w:color w:val="auto"/>
          <w:sz w:val="32"/>
          <w:szCs w:val="32"/>
          <w:lang w:eastAsia="zh-CN"/>
        </w:rPr>
        <w:t xml:space="preserve"> </w:t>
      </w:r>
    </w:p>
    <w:p w:rsidR="00273959" w:rsidRPr="00273959" w:rsidRDefault="00273959" w:rsidP="00273959">
      <w:pPr>
        <w:rPr>
          <w:rFonts w:asciiTheme="minorHAnsi" w:eastAsia="MS Mincho" w:hAnsiTheme="minorHAnsi"/>
          <w:color w:val="auto"/>
          <w:lang w:eastAsia="ja-JP"/>
        </w:rPr>
      </w:pPr>
      <w:bookmarkStart w:id="47" w:name="_Toc419471318"/>
      <w:bookmarkStart w:id="48" w:name="_Toc419471775"/>
      <w:bookmarkStart w:id="49" w:name="_Toc419472852"/>
      <w:r w:rsidRPr="00273959">
        <w:rPr>
          <w:rFonts w:asciiTheme="minorHAnsi" w:eastAsia="MS Mincho" w:hAnsiTheme="minorHAnsi"/>
          <w:color w:val="auto"/>
          <w:lang w:eastAsia="ja-JP"/>
        </w:rPr>
        <w:t>Goal 17: Strengthen the means of implementation and revitalize the global partnership for sustainable development</w:t>
      </w:r>
      <w:bookmarkEnd w:id="47"/>
      <w:bookmarkEnd w:id="48"/>
      <w:bookmarkEnd w:id="49"/>
    </w:p>
    <w:p w:rsidR="00273959" w:rsidRPr="00273959" w:rsidRDefault="00273959" w:rsidP="00273959">
      <w:pPr>
        <w:rPr>
          <w:rFonts w:asciiTheme="minorHAnsi" w:eastAsia="MS Mincho" w:hAnsiTheme="minorHAnsi"/>
          <w:color w:val="auto"/>
          <w:lang w:eastAsia="ja-JP"/>
        </w:rPr>
      </w:pPr>
      <w:bookmarkStart w:id="50" w:name="_Toc419471319"/>
      <w:bookmarkStart w:id="51" w:name="_Toc419471776"/>
      <w:bookmarkStart w:id="52" w:name="_Toc419472853"/>
      <w:r w:rsidRPr="00273959">
        <w:rPr>
          <w:rFonts w:asciiTheme="minorHAnsi" w:eastAsia="MS Mincho" w:hAnsiTheme="minorHAnsi"/>
          <w:color w:val="auto"/>
          <w:lang w:eastAsia="ja-JP"/>
        </w:rPr>
        <w:t>Target 17.8: fully operationalize the Technology Bank and STI (Science, Technology and Innovation) capacity building mechanism for LDCs by 2017, and enhance the use of enabling technologies, in particular Information and Communications Technology</w:t>
      </w:r>
      <w:bookmarkEnd w:id="50"/>
      <w:bookmarkEnd w:id="51"/>
      <w:bookmarkEnd w:id="52"/>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53" w:name="_Toc419471320"/>
      <w:r w:rsidRPr="00273959">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53"/>
    </w:p>
    <w:p w:rsidR="00273959" w:rsidRPr="00273959" w:rsidRDefault="00273959" w:rsidP="00273959">
      <w:pPr>
        <w:autoSpaceDE w:val="0"/>
        <w:autoSpaceDN w:val="0"/>
        <w:adjustRightInd w:val="0"/>
        <w:rPr>
          <w:rFonts w:asciiTheme="minorHAnsi" w:eastAsiaTheme="minorEastAsia" w:hAnsiTheme="minorHAnsi" w:cs="Calibri"/>
          <w:color w:val="auto"/>
          <w:lang w:val="en-US"/>
        </w:rPr>
      </w:pPr>
      <w:r w:rsidRPr="00273959">
        <w:rPr>
          <w:rFonts w:asciiTheme="minorHAnsi" w:eastAsiaTheme="minorEastAsia" w:hAnsiTheme="minorHAnsi" w:cs="Calibri,Italic"/>
          <w:i/>
          <w:iCs/>
          <w:color w:val="auto"/>
          <w:lang w:val="en-US"/>
        </w:rPr>
        <w:t xml:space="preserve">International Internet bandwidth </w:t>
      </w:r>
      <w:r w:rsidRPr="00273959">
        <w:rPr>
          <w:rFonts w:asciiTheme="minorHAnsi" w:eastAsiaTheme="minorEastAsia" w:hAnsiTheme="minorHAnsi" w:cs="Calibri"/>
          <w:color w:val="auto"/>
          <w:lang w:val="en-US"/>
        </w:rPr>
        <w:t xml:space="preserve">refers to the total capacity of international telecommunication links provisioned to carry Internet traffic, in megabits per second (Mbit/s). If capacity is asymmetric (i.e. more incoming (downlink) than outgoing (uplink) capacity), then the incoming (downlink) capacity should be provided. Data on international Internet bandwidth refers to the </w:t>
      </w:r>
      <w:r w:rsidRPr="00273959">
        <w:rPr>
          <w:rFonts w:asciiTheme="minorHAnsi" w:eastAsiaTheme="minorEastAsia" w:hAnsiTheme="minorHAnsi" w:cs="Calibri,BoldItalic"/>
          <w:color w:val="auto"/>
          <w:lang w:val="en-US"/>
        </w:rPr>
        <w:t xml:space="preserve">used international Internet bandwidth (traffic) and to </w:t>
      </w:r>
      <w:r w:rsidRPr="00273959">
        <w:rPr>
          <w:rFonts w:asciiTheme="minorHAnsi" w:eastAsiaTheme="minorEastAsia" w:hAnsiTheme="minorHAnsi" w:cs="Calibri"/>
          <w:color w:val="auto"/>
          <w:lang w:val="en-US"/>
        </w:rPr>
        <w:t xml:space="preserve">the average traffic load (expressed in Mbit/s) of international </w:t>
      </w:r>
      <w:proofErr w:type="spellStart"/>
      <w:r w:rsidRPr="00273959">
        <w:rPr>
          <w:rFonts w:asciiTheme="minorHAnsi" w:eastAsiaTheme="minorEastAsia" w:hAnsiTheme="minorHAnsi" w:cs="Calibri"/>
          <w:color w:val="auto"/>
          <w:lang w:val="en-US"/>
        </w:rPr>
        <w:t>fibre</w:t>
      </w:r>
      <w:proofErr w:type="spellEnd"/>
      <w:r w:rsidRPr="00273959">
        <w:rPr>
          <w:rFonts w:asciiTheme="minorHAnsi" w:eastAsiaTheme="minorEastAsia" w:hAnsiTheme="minorHAnsi" w:cs="Calibri"/>
          <w:color w:val="auto"/>
          <w:lang w:val="en-US"/>
        </w:rPr>
        <w:t>-optic cables and radio links for carrying Internet traffic. The average should be calculated over the 12-month period of the reference year, and should take into consideration the traffic of all international Internet links. The combined average traffic load of different international Internet links can be reported as the addition of the average traffic load of each link.</w:t>
      </w:r>
    </w:p>
    <w:p w:rsidR="00273959" w:rsidRPr="00273959" w:rsidRDefault="00273959" w:rsidP="00273959">
      <w:pPr>
        <w:rPr>
          <w:rFonts w:asciiTheme="minorHAnsi" w:eastAsia="MS Mincho" w:hAnsiTheme="minorHAnsi"/>
          <w:color w:val="auto"/>
          <w:lang w:val="en-US"/>
        </w:rPr>
      </w:pPr>
    </w:p>
    <w:p w:rsidR="00273959" w:rsidRPr="00273959" w:rsidRDefault="00273959" w:rsidP="00273959">
      <w:pPr>
        <w:rPr>
          <w:rFonts w:asciiTheme="minorHAnsi" w:eastAsia="MS Mincho" w:hAnsiTheme="minorHAnsi"/>
          <w:color w:val="auto"/>
          <w:lang w:val="en-US"/>
        </w:rPr>
      </w:pPr>
      <w:r w:rsidRPr="00273959">
        <w:rPr>
          <w:rFonts w:asciiTheme="minorHAnsi" w:eastAsia="MS Mincho" w:hAnsiTheme="minorHAnsi"/>
          <w:color w:val="auto"/>
          <w:lang w:val="en-US"/>
        </w:rPr>
        <w:t>The Internet</w:t>
      </w:r>
      <w:r w:rsidRPr="00273959">
        <w:rPr>
          <w:rFonts w:asciiTheme="minorHAnsi" w:eastAsia="MS Mincho" w:hAnsiTheme="minorHAnsi"/>
          <w:i/>
          <w:iCs/>
          <w:color w:val="auto"/>
          <w:lang w:val="en-US"/>
        </w:rPr>
        <w:t xml:space="preserve"> </w:t>
      </w:r>
      <w:r w:rsidRPr="00273959">
        <w:rPr>
          <w:rFonts w:asciiTheme="minorHAnsi" w:eastAsia="MS Mincho" w:hAnsiTheme="minorHAnsi"/>
          <w:color w:val="auto"/>
          <w:lang w:val="en-US"/>
        </w:rPr>
        <w:t>is a worldwide public computer network. It provides access to a number of communication services including the World Wide Web and carries e-mail, news, entertainment and data files.</w:t>
      </w:r>
    </w:p>
    <w:p w:rsidR="00273959" w:rsidRPr="00273959" w:rsidRDefault="00273959" w:rsidP="00273959">
      <w:pPr>
        <w:rPr>
          <w:rFonts w:asciiTheme="minorHAnsi" w:eastAsia="MS Mincho" w:hAnsiTheme="minorHAnsi"/>
          <w:color w:val="auto"/>
          <w:lang w:val="en-US"/>
        </w:rPr>
      </w:pPr>
    </w:p>
    <w:p w:rsidR="00273959" w:rsidRPr="00273959" w:rsidRDefault="00273959" w:rsidP="00273959">
      <w:pPr>
        <w:rPr>
          <w:rFonts w:ascii="Calibri" w:eastAsiaTheme="minorEastAsia" w:hAnsi="Calibri" w:cs="Calibri"/>
          <w:color w:val="auto"/>
          <w:lang w:val="en-US"/>
        </w:rPr>
      </w:pPr>
      <w:r w:rsidRPr="00273959">
        <w:rPr>
          <w:rFonts w:asciiTheme="minorHAnsi" w:eastAsia="MS Mincho" w:hAnsiTheme="minorHAnsi"/>
          <w:color w:val="auto"/>
          <w:lang w:eastAsia="ja-JP"/>
        </w:rPr>
        <w:t xml:space="preserve">ITU collects data for this indicator through an annual questionnaire sent to national regulatory authorities or Information and Communication Technology Ministries, who collect the data from Internet Service Providers and/or wholesale Internet connectivity providers. </w:t>
      </w:r>
      <w:r w:rsidRPr="00273959">
        <w:rPr>
          <w:rFonts w:ascii="Calibri" w:eastAsiaTheme="minorEastAsia" w:hAnsi="Calibri" w:cs="Calibri"/>
          <w:color w:val="auto"/>
          <w:lang w:val="en-US"/>
        </w:rPr>
        <w:t xml:space="preserve">The data can be collected by asking the operators that own the international </w:t>
      </w:r>
      <w:proofErr w:type="spellStart"/>
      <w:r w:rsidRPr="00273959">
        <w:rPr>
          <w:rFonts w:ascii="Calibri" w:eastAsiaTheme="minorEastAsia" w:hAnsi="Calibri" w:cs="Calibri"/>
          <w:color w:val="auto"/>
          <w:lang w:val="en-US"/>
        </w:rPr>
        <w:t>fibre</w:t>
      </w:r>
      <w:proofErr w:type="spellEnd"/>
      <w:r w:rsidRPr="00273959">
        <w:rPr>
          <w:rFonts w:ascii="Calibri" w:eastAsiaTheme="minorEastAsia" w:hAnsi="Calibri" w:cs="Calibri"/>
          <w:color w:val="auto"/>
          <w:lang w:val="en-US"/>
        </w:rPr>
        <w:t>-optic cables and radio links about the bandwidth data from their links, excluding any leased capacity from third parties. Data can also be collected by asking retail Internet service providers about the international Internet bandwidth they use to carry the traffic from their users, irrespective of whether this capacity is owned or leased. Data are then added up to obtain the country totals.</w:t>
      </w:r>
    </w:p>
    <w:p w:rsidR="00273959" w:rsidRPr="00273959" w:rsidRDefault="00273959" w:rsidP="00273959">
      <w:pPr>
        <w:rPr>
          <w:rFonts w:ascii="Calibri" w:eastAsiaTheme="minorEastAsia" w:hAnsi="Calibri" w:cs="Calibri"/>
          <w:color w:val="auto"/>
          <w:lang w:val="en-US"/>
        </w:rPr>
      </w:pPr>
    </w:p>
    <w:p w:rsidR="00273959" w:rsidRPr="00273959" w:rsidRDefault="00273959" w:rsidP="00273959">
      <w:pPr>
        <w:autoSpaceDE w:val="0"/>
        <w:autoSpaceDN w:val="0"/>
        <w:adjustRightInd w:val="0"/>
        <w:rPr>
          <w:rFonts w:asciiTheme="minorHAnsi" w:eastAsiaTheme="minorEastAsia" w:hAnsiTheme="minorHAnsi" w:cs="Calibri"/>
          <w:color w:val="auto"/>
          <w:lang w:val="en-US"/>
        </w:rPr>
      </w:pPr>
      <w:r w:rsidRPr="00273959">
        <w:rPr>
          <w:rFonts w:asciiTheme="minorHAnsi" w:eastAsiaTheme="minorEastAsia" w:hAnsiTheme="minorHAnsi" w:cs="Calibri"/>
          <w:color w:val="auto"/>
          <w:lang w:val="en-US"/>
        </w:rPr>
        <w:t xml:space="preserve">This indicator refers to the used capacity of international connections between countries for transmitting Internet traffic. Out of the total international bandwidth available in the country (i.e. the </w:t>
      </w:r>
      <w:r w:rsidRPr="00273959">
        <w:rPr>
          <w:rFonts w:asciiTheme="minorHAnsi" w:eastAsiaTheme="minorEastAsia" w:hAnsiTheme="minorHAnsi" w:cs="Calibri,Italic"/>
          <w:i/>
          <w:iCs/>
          <w:color w:val="auto"/>
          <w:lang w:val="en-US"/>
        </w:rPr>
        <w:t xml:space="preserve">potential </w:t>
      </w:r>
      <w:r w:rsidRPr="00273959">
        <w:rPr>
          <w:rFonts w:asciiTheme="minorHAnsi" w:eastAsiaTheme="minorEastAsia" w:hAnsiTheme="minorHAnsi" w:cs="Calibri"/>
          <w:color w:val="auto"/>
          <w:lang w:val="en-US"/>
        </w:rPr>
        <w:t xml:space="preserve">capacity of the connections), there is a part that corresponds to the </w:t>
      </w:r>
      <w:r w:rsidRPr="00273959">
        <w:rPr>
          <w:rFonts w:asciiTheme="minorHAnsi" w:eastAsiaTheme="minorEastAsia" w:hAnsiTheme="minorHAnsi" w:cs="Calibri,Italic"/>
          <w:color w:val="auto"/>
          <w:lang w:val="en-US"/>
        </w:rPr>
        <w:t>lit or equipped</w:t>
      </w:r>
      <w:r w:rsidRPr="00273959">
        <w:rPr>
          <w:rFonts w:asciiTheme="minorHAnsi" w:eastAsiaTheme="minorEastAsia" w:hAnsiTheme="minorHAnsi" w:cs="Calibri,Italic"/>
          <w:i/>
          <w:iCs/>
          <w:color w:val="auto"/>
          <w:lang w:val="en-US"/>
        </w:rPr>
        <w:t xml:space="preserve"> </w:t>
      </w:r>
      <w:r w:rsidRPr="00273959">
        <w:rPr>
          <w:rFonts w:asciiTheme="minorHAnsi" w:eastAsiaTheme="minorEastAsia" w:hAnsiTheme="minorHAnsi" w:cs="Calibri"/>
          <w:color w:val="auto"/>
          <w:lang w:val="en-US"/>
        </w:rPr>
        <w:t xml:space="preserve">capacity, i.e. capacity currently available for use and for which the necessary equipment has been deployed and is operational at both ends of the link. Only the part of the </w:t>
      </w:r>
      <w:r w:rsidRPr="00273959">
        <w:rPr>
          <w:rFonts w:asciiTheme="minorHAnsi" w:eastAsiaTheme="minorEastAsia" w:hAnsiTheme="minorHAnsi" w:cs="Calibri"/>
          <w:color w:val="auto"/>
          <w:lang w:val="en-US"/>
        </w:rPr>
        <w:lastRenderedPageBreak/>
        <w:t xml:space="preserve">lit/equipped capacity that has been actually used to carry Internet traffic during the reference period is counted as used capacity. </w:t>
      </w:r>
    </w:p>
    <w:p w:rsidR="00273959" w:rsidRPr="00273959" w:rsidRDefault="00273959" w:rsidP="00273959">
      <w:pPr>
        <w:autoSpaceDE w:val="0"/>
        <w:autoSpaceDN w:val="0"/>
        <w:adjustRightInd w:val="0"/>
        <w:rPr>
          <w:rFonts w:asciiTheme="minorHAnsi" w:eastAsiaTheme="minorEastAsia" w:hAnsiTheme="minorHAnsi" w:cs="Calibri"/>
          <w:color w:val="auto"/>
          <w:lang w:val="en-US"/>
        </w:rPr>
      </w:pPr>
    </w:p>
    <w:p w:rsidR="00273959" w:rsidRPr="00273959" w:rsidRDefault="00273959" w:rsidP="00273959">
      <w:pPr>
        <w:autoSpaceDE w:val="0"/>
        <w:autoSpaceDN w:val="0"/>
        <w:adjustRightInd w:val="0"/>
        <w:rPr>
          <w:rFonts w:asciiTheme="minorHAnsi" w:eastAsiaTheme="minorEastAsia" w:hAnsiTheme="minorHAnsi" w:cs="Calibri"/>
          <w:color w:val="auto"/>
          <w:lang w:val="en-US"/>
        </w:rPr>
      </w:pPr>
      <w:r w:rsidRPr="00273959">
        <w:rPr>
          <w:rFonts w:asciiTheme="minorHAnsi" w:eastAsiaTheme="minorEastAsia" w:hAnsiTheme="minorHAnsi" w:cs="Calibri"/>
          <w:color w:val="auto"/>
          <w:lang w:val="en-US"/>
        </w:rPr>
        <w:t>Data on international Internet bandwidth are multiplied by 1 million and divided by the population to derive the international Internet bandwidth per inhabitant (bits/second/inhabitant). Data are presented in relative terms to the population of the country in order to ascertain to what extent the current international Internet bandwidth suffices the whole population in a country.</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4" w:name="_Toc419471321"/>
      <w:r w:rsidRPr="00273959">
        <w:rPr>
          <w:rFonts w:asciiTheme="majorHAnsi" w:eastAsiaTheme="majorEastAsia" w:hAnsiTheme="majorHAnsi" w:cstheme="majorBidi"/>
          <w:b/>
          <w:bCs/>
          <w:color w:val="365F91" w:themeColor="accent1" w:themeShade="BF"/>
          <w:sz w:val="28"/>
          <w:szCs w:val="28"/>
          <w:lang w:eastAsia="ja-JP"/>
        </w:rPr>
        <w:t>Rationale and interpretation</w:t>
      </w:r>
      <w:bookmarkEnd w:id="54"/>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 xml:space="preserve">The Internet has become an increasingly important tool to provide access to information, and can help operationalize the Technology Bank and STI (Science, Technology and Innovation) capacity building mechanism, and enhance knowledge sharing. International Internet bandwidth is an important building block in providing high-speed Internet access and to ensure that Internet users have quality access to the global Internet and can take advantage of the growing amount of Internet content – including user-generated content –, services and information. Moreover, the lack of international Internet bandwidth has been a historical bottleneck in the broadband provision chain in developing countries, and therefore merits particular policy attention and monitoring. </w:t>
      </w:r>
    </w:p>
    <w:p w:rsidR="00273959" w:rsidRPr="00273959" w:rsidRDefault="00273959" w:rsidP="00273959">
      <w:pPr>
        <w:rPr>
          <w:rFonts w:asciiTheme="minorHAnsi" w:eastAsia="MS Mincho" w:hAnsiTheme="minorHAnsi"/>
          <w:color w:val="auto"/>
          <w:lang w:eastAsia="ja-JP"/>
        </w:rPr>
      </w:pPr>
    </w:p>
    <w:p w:rsidR="00273959" w:rsidRPr="00273959" w:rsidRDefault="00273959" w:rsidP="00273959">
      <w:pPr>
        <w:autoSpaceDE w:val="0"/>
        <w:autoSpaceDN w:val="0"/>
        <w:adjustRightInd w:val="0"/>
        <w:rPr>
          <w:rFonts w:ascii="Calibri" w:eastAsiaTheme="minorEastAsia" w:hAnsi="Calibri" w:cs="Calibri"/>
          <w:color w:val="auto"/>
          <w:lang w:val="en-US"/>
        </w:rPr>
      </w:pPr>
      <w:r w:rsidRPr="00273959">
        <w:rPr>
          <w:rFonts w:ascii="Calibri" w:eastAsiaTheme="minorEastAsia" w:hAnsi="Calibri" w:cs="Calibri"/>
          <w:color w:val="auto"/>
          <w:lang w:val="en-US"/>
        </w:rPr>
        <w:t>Domestic and international backbones are important building blocks of Internet</w:t>
      </w:r>
    </w:p>
    <w:p w:rsidR="00273959" w:rsidRPr="00273959" w:rsidRDefault="00273959" w:rsidP="00273959">
      <w:pPr>
        <w:autoSpaceDE w:val="0"/>
        <w:autoSpaceDN w:val="0"/>
        <w:adjustRightInd w:val="0"/>
        <w:rPr>
          <w:rFonts w:ascii="Calibri" w:eastAsiaTheme="minorEastAsia" w:hAnsi="Calibri" w:cs="Calibri"/>
          <w:color w:val="auto"/>
          <w:lang w:val="en-US"/>
        </w:rPr>
      </w:pPr>
      <w:proofErr w:type="gramStart"/>
      <w:r w:rsidRPr="00273959">
        <w:rPr>
          <w:rFonts w:ascii="Calibri" w:eastAsiaTheme="minorEastAsia" w:hAnsi="Calibri" w:cs="Calibri"/>
          <w:color w:val="auto"/>
          <w:lang w:val="en-US"/>
        </w:rPr>
        <w:t>infrastructure</w:t>
      </w:r>
      <w:proofErr w:type="gramEnd"/>
      <w:r w:rsidRPr="00273959">
        <w:rPr>
          <w:rFonts w:ascii="Calibri" w:eastAsiaTheme="minorEastAsia" w:hAnsi="Calibri" w:cs="Calibri"/>
          <w:color w:val="auto"/>
          <w:lang w:val="en-US"/>
        </w:rPr>
        <w:t xml:space="preserve">. Backbone transmission networks typically revolve around </w:t>
      </w:r>
      <w:proofErr w:type="spellStart"/>
      <w:r w:rsidRPr="00273959">
        <w:rPr>
          <w:rFonts w:ascii="Calibri" w:eastAsiaTheme="minorEastAsia" w:hAnsi="Calibri" w:cs="Calibri"/>
          <w:color w:val="auto"/>
          <w:lang w:val="en-US"/>
        </w:rPr>
        <w:t>fibre</w:t>
      </w:r>
      <w:proofErr w:type="spellEnd"/>
      <w:r w:rsidRPr="00273959">
        <w:rPr>
          <w:rFonts w:ascii="Calibri" w:eastAsiaTheme="minorEastAsia" w:hAnsi="Calibri" w:cs="Calibri"/>
          <w:color w:val="auto"/>
          <w:lang w:val="en-US"/>
        </w:rPr>
        <w:t>-optic, satellite</w:t>
      </w:r>
    </w:p>
    <w:p w:rsidR="00273959" w:rsidRPr="00273959" w:rsidRDefault="00273959" w:rsidP="00273959">
      <w:pPr>
        <w:autoSpaceDE w:val="0"/>
        <w:autoSpaceDN w:val="0"/>
        <w:adjustRightInd w:val="0"/>
        <w:rPr>
          <w:rFonts w:ascii="Calibri" w:eastAsiaTheme="minorEastAsia" w:hAnsi="Calibri" w:cs="Calibri"/>
          <w:color w:val="auto"/>
          <w:lang w:val="en-US"/>
        </w:rPr>
      </w:pPr>
      <w:proofErr w:type="gramStart"/>
      <w:r w:rsidRPr="00273959">
        <w:rPr>
          <w:rFonts w:ascii="Calibri" w:eastAsiaTheme="minorEastAsia" w:hAnsi="Calibri" w:cs="Calibri"/>
          <w:color w:val="auto"/>
          <w:lang w:val="en-US"/>
        </w:rPr>
        <w:t>and</w:t>
      </w:r>
      <w:proofErr w:type="gramEnd"/>
      <w:r w:rsidRPr="00273959">
        <w:rPr>
          <w:rFonts w:ascii="Calibri" w:eastAsiaTheme="minorEastAsia" w:hAnsi="Calibri" w:cs="Calibri"/>
          <w:color w:val="auto"/>
          <w:lang w:val="en-US"/>
        </w:rPr>
        <w:t xml:space="preserve"> microwave infrastructure. Backbone transmission bandwidth affects the speed at which</w:t>
      </w:r>
    </w:p>
    <w:p w:rsidR="00273959" w:rsidRPr="00273959" w:rsidRDefault="00273959" w:rsidP="00273959">
      <w:pPr>
        <w:autoSpaceDE w:val="0"/>
        <w:autoSpaceDN w:val="0"/>
        <w:adjustRightInd w:val="0"/>
        <w:rPr>
          <w:rFonts w:ascii="Calibri" w:eastAsiaTheme="minorEastAsia" w:hAnsi="Calibri" w:cs="Calibri"/>
          <w:color w:val="auto"/>
          <w:lang w:val="en-US"/>
        </w:rPr>
      </w:pPr>
      <w:proofErr w:type="gramStart"/>
      <w:r w:rsidRPr="00273959">
        <w:rPr>
          <w:rFonts w:ascii="Calibri" w:eastAsiaTheme="minorEastAsia" w:hAnsi="Calibri" w:cs="Calibri"/>
          <w:color w:val="auto"/>
          <w:lang w:val="en-US"/>
        </w:rPr>
        <w:t>information</w:t>
      </w:r>
      <w:proofErr w:type="gramEnd"/>
      <w:r w:rsidRPr="00273959">
        <w:rPr>
          <w:rFonts w:ascii="Calibri" w:eastAsiaTheme="minorEastAsia" w:hAnsi="Calibri" w:cs="Calibri"/>
          <w:color w:val="auto"/>
          <w:lang w:val="en-US"/>
        </w:rPr>
        <w:t xml:space="preserve"> is delivered to, and sent from, Internet users. It is measured in the number of bits</w:t>
      </w:r>
    </w:p>
    <w:p w:rsidR="00273959" w:rsidRPr="00273959" w:rsidRDefault="00273959" w:rsidP="00273959">
      <w:pPr>
        <w:autoSpaceDE w:val="0"/>
        <w:autoSpaceDN w:val="0"/>
        <w:adjustRightInd w:val="0"/>
        <w:rPr>
          <w:rFonts w:ascii="Calibri" w:eastAsiaTheme="minorEastAsia" w:hAnsi="Calibri" w:cs="Calibri"/>
          <w:color w:val="auto"/>
          <w:lang w:val="en-US"/>
        </w:rPr>
      </w:pPr>
      <w:proofErr w:type="gramStart"/>
      <w:r w:rsidRPr="00273959">
        <w:rPr>
          <w:rFonts w:ascii="Calibri" w:eastAsiaTheme="minorEastAsia" w:hAnsi="Calibri" w:cs="Calibri"/>
          <w:color w:val="auto"/>
          <w:lang w:val="en-US"/>
        </w:rPr>
        <w:t>that</w:t>
      </w:r>
      <w:proofErr w:type="gramEnd"/>
      <w:r w:rsidRPr="00273959">
        <w:rPr>
          <w:rFonts w:ascii="Calibri" w:eastAsiaTheme="minorEastAsia" w:hAnsi="Calibri" w:cs="Calibri"/>
          <w:color w:val="auto"/>
          <w:lang w:val="en-US"/>
        </w:rPr>
        <w:t xml:space="preserve"> can be transferred per second. A common benchmark is bits per second per capita,</w:t>
      </w:r>
    </w:p>
    <w:p w:rsidR="00273959" w:rsidRPr="00273959" w:rsidRDefault="00273959" w:rsidP="00273959">
      <w:pPr>
        <w:rPr>
          <w:rFonts w:ascii="Calibri" w:eastAsiaTheme="minorEastAsia" w:hAnsi="Calibri" w:cs="Calibri"/>
          <w:color w:val="auto"/>
          <w:lang w:val="en-US"/>
        </w:rPr>
      </w:pPr>
      <w:proofErr w:type="gramStart"/>
      <w:r w:rsidRPr="00273959">
        <w:rPr>
          <w:rFonts w:ascii="Calibri" w:eastAsiaTheme="minorEastAsia" w:hAnsi="Calibri" w:cs="Calibri"/>
          <w:color w:val="auto"/>
          <w:lang w:val="en-US"/>
        </w:rPr>
        <w:t>obtained</w:t>
      </w:r>
      <w:proofErr w:type="gramEnd"/>
      <w:r w:rsidRPr="00273959">
        <w:rPr>
          <w:rFonts w:ascii="Calibri" w:eastAsiaTheme="minorEastAsia" w:hAnsi="Calibri" w:cs="Calibri"/>
          <w:color w:val="auto"/>
          <w:lang w:val="en-US"/>
        </w:rPr>
        <w:t xml:space="preserve"> by dividing the Internet bandwidth by the population.</w:t>
      </w:r>
    </w:p>
    <w:p w:rsidR="00273959" w:rsidRPr="00273959" w:rsidRDefault="00273959" w:rsidP="00273959">
      <w:pPr>
        <w:rPr>
          <w:rFonts w:asciiTheme="minorHAnsi" w:eastAsia="MS Mincho" w:hAnsiTheme="minorHAnsi"/>
          <w:color w:val="auto"/>
          <w:lang w:val="en-US" w:eastAsia="ja-JP"/>
        </w:rPr>
      </w:pPr>
    </w:p>
    <w:p w:rsidR="00273959" w:rsidRPr="00273959" w:rsidRDefault="00273959" w:rsidP="00273959">
      <w:pPr>
        <w:rPr>
          <w:rFonts w:asciiTheme="minorHAnsi" w:eastAsiaTheme="minorEastAsia" w:hAnsiTheme="minorHAnsi" w:cs="Arial"/>
          <w:color w:val="auto"/>
          <w:lang w:val="en-US"/>
        </w:rPr>
      </w:pPr>
      <w:r w:rsidRPr="00273959">
        <w:rPr>
          <w:rFonts w:asciiTheme="minorHAnsi" w:eastAsia="MS Mincho" w:hAnsiTheme="minorHAnsi"/>
          <w:color w:val="auto"/>
          <w:lang w:eastAsia="ja-JP"/>
        </w:rPr>
        <w:t xml:space="preserve">Several countries in the world, and in particular LDCs, have only a very limited amount of international Internet bandwidth, which severely limits the potential of the Internet. The indicator also highlights the importance of Internet use as a development enabler and helps to measure the digital divide, which, if not properly addressed, will aggravate inequalities in all development domains. </w:t>
      </w:r>
      <w:r w:rsidRPr="00273959">
        <w:rPr>
          <w:rFonts w:asciiTheme="minorHAnsi" w:eastAsiaTheme="minorEastAsia" w:hAnsiTheme="minorHAnsi" w:cs="Arial"/>
          <w:color w:val="auto"/>
          <w:lang w:val="en-US"/>
        </w:rPr>
        <w:t>Information on these indicators will contribute to the design of targeted policies to overcome those divides.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5" w:name="_Toc419471322"/>
      <w:r w:rsidRPr="00273959">
        <w:rPr>
          <w:rFonts w:asciiTheme="majorHAnsi" w:eastAsiaTheme="majorEastAsia" w:hAnsiTheme="majorHAnsi" w:cstheme="majorBidi"/>
          <w:b/>
          <w:bCs/>
          <w:color w:val="365F91" w:themeColor="accent1" w:themeShade="BF"/>
          <w:sz w:val="28"/>
          <w:szCs w:val="28"/>
          <w:lang w:eastAsia="ja-JP"/>
        </w:rPr>
        <w:t>Sources and data collection</w:t>
      </w:r>
      <w:bookmarkEnd w:id="55"/>
    </w:p>
    <w:p w:rsidR="00273959" w:rsidRPr="00273959" w:rsidRDefault="00273959" w:rsidP="00273959">
      <w:pPr>
        <w:rPr>
          <w:rFonts w:asciiTheme="minorHAnsi" w:eastAsiaTheme="minorEastAsia" w:hAnsiTheme="minorHAnsi" w:cs="Arial"/>
          <w:color w:val="auto"/>
          <w:lang w:val="en-US"/>
        </w:rPr>
      </w:pPr>
      <w:r w:rsidRPr="00273959">
        <w:rPr>
          <w:rFonts w:asciiTheme="minorHAnsi" w:eastAsia="MS Mincho" w:hAnsiTheme="minorHAnsi"/>
          <w:color w:val="auto"/>
          <w:lang w:val="en-US"/>
        </w:rPr>
        <w:t xml:space="preserve">The </w:t>
      </w:r>
      <w:r w:rsidRPr="00273959">
        <w:rPr>
          <w:rFonts w:asciiTheme="minorHAnsi" w:eastAsiaTheme="minorEastAsia" w:hAnsiTheme="minorHAnsi" w:cs="Calibri,Italic"/>
          <w:i/>
          <w:iCs/>
          <w:color w:val="auto"/>
          <w:lang w:val="en-US"/>
        </w:rPr>
        <w:t xml:space="preserve">International Internet bandwidth </w:t>
      </w:r>
      <w:r w:rsidRPr="00273959">
        <w:rPr>
          <w:rFonts w:asciiTheme="minorHAnsi" w:eastAsia="MS Mincho" w:hAnsiTheme="minorHAnsi"/>
          <w:i/>
          <w:iCs/>
          <w:color w:val="auto"/>
          <w:lang w:val="en-US"/>
        </w:rPr>
        <w:t>per inhabitant</w:t>
      </w:r>
      <w:r w:rsidRPr="00273959">
        <w:rPr>
          <w:rFonts w:asciiTheme="minorHAnsi" w:eastAsia="MS Mincho" w:hAnsiTheme="minorHAnsi"/>
          <w:color w:val="auto"/>
          <w:lang w:val="en-US"/>
        </w:rPr>
        <w:t xml:space="preserve"> indicator is based on an internationally agreed definition and methodology, which have been developed under the coordination of ITU, through its Expert Groups and following an extensive consultation process with countries. It </w:t>
      </w:r>
      <w:r w:rsidRPr="00273959">
        <w:rPr>
          <w:rFonts w:asciiTheme="minorHAnsi" w:eastAsia="MS Mincho" w:hAnsiTheme="minorHAnsi"/>
          <w:color w:val="auto"/>
          <w:lang w:eastAsia="ja-JP"/>
        </w:rPr>
        <w:t xml:space="preserve">is also a core indicator of the Partnership on Measuring ICT for Development's Core List of Indicators, which has been endorsed by the UN Statistical Commission (last time in 2014). </w:t>
      </w:r>
      <w:r w:rsidRPr="00273959">
        <w:rPr>
          <w:rFonts w:asciiTheme="minorHAnsi" w:eastAsiaTheme="minorEastAsia" w:hAnsiTheme="minorHAnsi" w:cs="Arial"/>
          <w:color w:val="auto"/>
          <w:lang w:val="en-US"/>
        </w:rPr>
        <w:t xml:space="preserve">Data on international Internet bandwidth are also used in the calculation of the ITU ICT Development </w:t>
      </w:r>
      <w:r w:rsidRPr="00273959">
        <w:rPr>
          <w:rFonts w:asciiTheme="minorHAnsi" w:eastAsiaTheme="minorEastAsia" w:hAnsiTheme="minorHAnsi" w:cs="Arial"/>
          <w:color w:val="auto"/>
          <w:lang w:val="en-US"/>
        </w:rPr>
        <w:lastRenderedPageBreak/>
        <w:t xml:space="preserve">Index (IDI), and thus considered a key metric for international comparisons of ICT developments. </w:t>
      </w:r>
    </w:p>
    <w:p w:rsidR="00273959" w:rsidRPr="00273959" w:rsidRDefault="00273959" w:rsidP="00273959">
      <w:pPr>
        <w:autoSpaceDE w:val="0"/>
        <w:autoSpaceDN w:val="0"/>
        <w:adjustRightInd w:val="0"/>
        <w:rPr>
          <w:rFonts w:asciiTheme="minorHAnsi" w:eastAsia="MS Mincho" w:hAnsiTheme="minorHAnsi"/>
          <w:color w:val="auto"/>
          <w:lang w:eastAsia="ja-JP"/>
        </w:rPr>
      </w:pPr>
    </w:p>
    <w:p w:rsidR="00273959" w:rsidRPr="00273959" w:rsidRDefault="00273959" w:rsidP="00273959">
      <w:pPr>
        <w:rPr>
          <w:rFonts w:asciiTheme="minorHAnsi" w:eastAsia="MS Mincho" w:hAnsiTheme="minorHAnsi"/>
          <w:color w:val="auto"/>
          <w:lang w:eastAsia="ja-JP"/>
        </w:rPr>
      </w:pPr>
      <w:r w:rsidRPr="00273959">
        <w:rPr>
          <w:rFonts w:asciiTheme="minorHAnsi" w:eastAsia="MS Mincho" w:hAnsiTheme="minorHAnsi"/>
          <w:color w:val="auto"/>
          <w:lang w:eastAsia="ja-JP"/>
        </w:rPr>
        <w:t>ITU collects data for the indicator through an annual questionnaire sent to national regulatory authorities or Information and Communication Technology Ministries, who collect the data from Internet Service Providers and/or wholesale Internet connectivity providers. For countries that do not provide the information, ITU estimates the indicator based on information provided by operators/ISPs, and based on subscription data. By 2014, data are available for about 200 economies.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6" w:name="_Toc419471323"/>
      <w:r w:rsidRPr="00273959">
        <w:rPr>
          <w:rFonts w:asciiTheme="majorHAnsi" w:eastAsiaTheme="majorEastAsia" w:hAnsiTheme="majorHAnsi" w:cstheme="majorBidi"/>
          <w:b/>
          <w:bCs/>
          <w:color w:val="365F91" w:themeColor="accent1" w:themeShade="BF"/>
          <w:sz w:val="28"/>
          <w:szCs w:val="28"/>
          <w:lang w:eastAsia="ja-JP"/>
        </w:rPr>
        <w:t>Disaggregation</w:t>
      </w:r>
      <w:bookmarkEnd w:id="56"/>
    </w:p>
    <w:p w:rsidR="00273959" w:rsidRPr="00273959" w:rsidRDefault="00273959" w:rsidP="00273959">
      <w:pPr>
        <w:keepNext/>
        <w:keepLines/>
        <w:rPr>
          <w:rFonts w:asciiTheme="minorHAnsi" w:eastAsia="MS Mincho" w:hAnsiTheme="minorHAnsi"/>
          <w:bCs/>
          <w:color w:val="auto"/>
          <w:lang w:eastAsia="ja-JP"/>
        </w:rPr>
      </w:pPr>
      <w:r w:rsidRPr="00273959">
        <w:rPr>
          <w:rFonts w:asciiTheme="minorHAnsi" w:eastAsia="MS Mincho" w:hAnsiTheme="minorHAnsi"/>
          <w:color w:val="auto"/>
        </w:rPr>
        <w:t>Not applicable for this indicator.</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7" w:name="_Toc419471324"/>
      <w:r w:rsidRPr="00273959">
        <w:rPr>
          <w:rFonts w:asciiTheme="majorHAnsi" w:eastAsiaTheme="majorEastAsia" w:hAnsiTheme="majorHAnsi" w:cstheme="majorBidi"/>
          <w:b/>
          <w:bCs/>
          <w:color w:val="365F91" w:themeColor="accent1" w:themeShade="BF"/>
          <w:sz w:val="28"/>
          <w:szCs w:val="28"/>
          <w:lang w:eastAsia="ja-JP"/>
        </w:rPr>
        <w:t>Comments and limitations</w:t>
      </w:r>
      <w:bookmarkEnd w:id="57"/>
    </w:p>
    <w:p w:rsidR="00273959" w:rsidRPr="00273959" w:rsidRDefault="00273959" w:rsidP="00273959">
      <w:pPr>
        <w:rPr>
          <w:rFonts w:asciiTheme="minorHAnsi" w:eastAsia="MS Mincho" w:hAnsiTheme="minorHAnsi"/>
          <w:b/>
          <w:color w:val="auto"/>
          <w:lang w:eastAsia="ja-JP"/>
        </w:rPr>
      </w:pPr>
      <w:r w:rsidRPr="00273959">
        <w:rPr>
          <w:rFonts w:ascii="Calibri" w:eastAsiaTheme="minorEastAsia" w:hAnsi="Calibri" w:cs="Calibri"/>
          <w:color w:val="auto"/>
          <w:lang w:val="en-US"/>
        </w:rPr>
        <w:t xml:space="preserve">There exist different measurements of international Internet bandwidth, such as potential, lit/equipped, purchased and used capacity. The harmonization of the data reported </w:t>
      </w:r>
      <w:proofErr w:type="gramStart"/>
      <w:r w:rsidRPr="00273959">
        <w:rPr>
          <w:rFonts w:ascii="Calibri" w:eastAsiaTheme="minorEastAsia" w:hAnsi="Calibri" w:cs="Calibri"/>
          <w:color w:val="auto"/>
          <w:lang w:val="en-US"/>
        </w:rPr>
        <w:t>into a</w:t>
      </w:r>
      <w:proofErr w:type="gramEnd"/>
      <w:r w:rsidRPr="00273959">
        <w:rPr>
          <w:rFonts w:ascii="Calibri" w:eastAsiaTheme="minorEastAsia" w:hAnsi="Calibri" w:cs="Calibri"/>
          <w:color w:val="auto"/>
          <w:lang w:val="en-US"/>
        </w:rPr>
        <w:t xml:space="preserve"> single common metric remains a challenge. ITU is working towards the harmonization of the data on international Internet bandwidth through the work of the ITU Expert Group on Telecommunication/ICT Indicators (EGTI).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8" w:name="_Toc419471325"/>
      <w:r w:rsidRPr="00273959">
        <w:rPr>
          <w:rFonts w:asciiTheme="majorHAnsi" w:eastAsiaTheme="majorEastAsia" w:hAnsiTheme="majorHAnsi" w:cstheme="majorBidi"/>
          <w:b/>
          <w:bCs/>
          <w:color w:val="365F91" w:themeColor="accent1" w:themeShade="BF"/>
          <w:sz w:val="28"/>
          <w:szCs w:val="28"/>
          <w:lang w:eastAsia="ja-JP"/>
        </w:rPr>
        <w:t>Gender equality issues</w:t>
      </w:r>
      <w:bookmarkEnd w:id="58"/>
    </w:p>
    <w:p w:rsidR="00273959" w:rsidRPr="00273959" w:rsidRDefault="00273959" w:rsidP="00273959">
      <w:pPr>
        <w:keepNext/>
        <w:keepLines/>
        <w:rPr>
          <w:rFonts w:asciiTheme="minorHAnsi" w:eastAsia="MS Mincho" w:hAnsiTheme="minorHAnsi"/>
          <w:bCs/>
          <w:color w:val="auto"/>
          <w:lang w:eastAsia="ja-JP"/>
        </w:rPr>
      </w:pPr>
      <w:r w:rsidRPr="00273959">
        <w:rPr>
          <w:rFonts w:asciiTheme="minorHAnsi" w:eastAsia="MS Mincho" w:hAnsiTheme="minorHAnsi"/>
          <w:color w:val="auto"/>
        </w:rPr>
        <w:t>Not applicable for this indicator.</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59" w:name="_Toc419471326"/>
      <w:r w:rsidRPr="00273959">
        <w:rPr>
          <w:rFonts w:asciiTheme="majorHAnsi" w:eastAsiaTheme="majorEastAsia" w:hAnsiTheme="majorHAnsi" w:cstheme="majorBidi"/>
          <w:b/>
          <w:bCs/>
          <w:color w:val="365F91" w:themeColor="accent1" w:themeShade="BF"/>
          <w:sz w:val="28"/>
          <w:szCs w:val="28"/>
          <w:lang w:eastAsia="ja-JP"/>
        </w:rPr>
        <w:t>Data for global and regional monitoring</w:t>
      </w:r>
      <w:bookmarkEnd w:id="59"/>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 xml:space="preserve">ITU produces regional and global aggregates of </w:t>
      </w:r>
      <w:r w:rsidRPr="00273959">
        <w:rPr>
          <w:rFonts w:asciiTheme="minorHAnsi" w:eastAsia="MS Mincho" w:hAnsiTheme="minorHAnsi" w:cs="Calibri,Italic"/>
          <w:color w:val="auto"/>
          <w:lang w:val="en-US"/>
        </w:rPr>
        <w:t xml:space="preserve">International Internet bandwidth per inhabitant, as well as for LDCs.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60" w:name="_Toc419471327"/>
      <w:r w:rsidRPr="00273959">
        <w:rPr>
          <w:rFonts w:asciiTheme="majorHAnsi" w:eastAsiaTheme="majorEastAsia" w:hAnsiTheme="majorHAnsi" w:cstheme="majorBidi"/>
          <w:b/>
          <w:bCs/>
          <w:color w:val="365F91" w:themeColor="accent1" w:themeShade="BF"/>
          <w:sz w:val="28"/>
          <w:szCs w:val="28"/>
          <w:lang w:eastAsia="ja-JP"/>
        </w:rPr>
        <w:t>Supplementary information</w:t>
      </w:r>
      <w:bookmarkEnd w:id="60"/>
    </w:p>
    <w:p w:rsidR="00273959" w:rsidRPr="00273959" w:rsidRDefault="00273959" w:rsidP="00273959">
      <w:pPr>
        <w:autoSpaceDE w:val="0"/>
        <w:autoSpaceDN w:val="0"/>
        <w:adjustRightInd w:val="0"/>
        <w:rPr>
          <w:rFonts w:asciiTheme="minorHAnsi" w:eastAsia="MS Mincho" w:hAnsiTheme="minorHAnsi"/>
          <w:color w:val="auto"/>
          <w:lang w:eastAsia="ja-JP"/>
        </w:rPr>
      </w:pPr>
      <w:r w:rsidRPr="00273959">
        <w:rPr>
          <w:rFonts w:asciiTheme="minorHAnsi" w:eastAsia="MS Mincho" w:hAnsiTheme="minorHAnsi"/>
          <w:color w:val="auto"/>
          <w:lang w:eastAsia="ja-JP"/>
        </w:rPr>
        <w:t xml:space="preserve">Year-end estimates are usually released in June of the following year through the ITU World Telecommunication/ICT Indicators Database. </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61" w:name="_Toc419471328"/>
      <w:r w:rsidRPr="00273959">
        <w:rPr>
          <w:rFonts w:asciiTheme="majorHAnsi" w:eastAsiaTheme="majorEastAsia" w:hAnsiTheme="majorHAnsi" w:cstheme="majorBidi"/>
          <w:b/>
          <w:bCs/>
          <w:color w:val="365F91" w:themeColor="accent1" w:themeShade="BF"/>
          <w:sz w:val="28"/>
          <w:szCs w:val="28"/>
          <w:lang w:eastAsia="ja-JP"/>
        </w:rPr>
        <w:t>References:</w:t>
      </w:r>
      <w:bookmarkEnd w:id="61"/>
    </w:p>
    <w:p w:rsidR="00273959" w:rsidRPr="00273959" w:rsidRDefault="00273959" w:rsidP="00273959">
      <w:pPr>
        <w:numPr>
          <w:ilvl w:val="0"/>
          <w:numId w:val="2"/>
        </w:numPr>
        <w:ind w:left="720"/>
        <w:contextualSpacing/>
        <w:rPr>
          <w:rFonts w:asciiTheme="minorHAnsi" w:eastAsia="MS Mincho" w:hAnsiTheme="minorHAnsi"/>
          <w:color w:val="auto"/>
          <w:lang w:eastAsia="ja-JP"/>
        </w:rPr>
      </w:pPr>
      <w:hyperlink r:id="rId8" w:history="1">
        <w:r w:rsidRPr="00273959">
          <w:rPr>
            <w:rFonts w:asciiTheme="minorHAnsi" w:eastAsia="MS Mincho" w:hAnsiTheme="minorHAnsi" w:cs="Segoe UI"/>
            <w:color w:val="auto"/>
            <w:lang w:val="en-US" w:eastAsia="ja-JP"/>
          </w:rPr>
          <w:t>ITU Handbook for the collection of Administrative Data on Telecommunications/ICT</w:t>
        </w:r>
      </w:hyperlink>
      <w:r w:rsidRPr="00273959">
        <w:rPr>
          <w:rFonts w:asciiTheme="minorHAnsi" w:eastAsia="MS Mincho" w:hAnsiTheme="minorHAnsi" w:cs="Segoe UI"/>
          <w:color w:val="auto"/>
          <w:lang w:val="en-US" w:eastAsia="ja-JP"/>
        </w:rPr>
        <w:t>, 2011 (and revisions and new indicators)</w:t>
      </w:r>
    </w:p>
    <w:p w:rsidR="00273959" w:rsidRPr="00273959" w:rsidRDefault="00273959" w:rsidP="00273959">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62" w:name="_Toc419471329"/>
      <w:r w:rsidRPr="00273959">
        <w:rPr>
          <w:rFonts w:asciiTheme="majorHAnsi" w:eastAsiaTheme="majorEastAsia" w:hAnsiTheme="majorHAnsi" w:cstheme="majorBidi"/>
          <w:b/>
          <w:bCs/>
          <w:color w:val="365F91" w:themeColor="accent1" w:themeShade="BF"/>
          <w:sz w:val="28"/>
          <w:szCs w:val="28"/>
          <w:lang w:eastAsia="ja-JP"/>
        </w:rPr>
        <w:t>Targets for which indicator are relevant:</w:t>
      </w:r>
      <w:bookmarkEnd w:id="62"/>
    </w:p>
    <w:p w:rsidR="00273959" w:rsidRPr="00273959" w:rsidRDefault="00273959" w:rsidP="00273959">
      <w:pPr>
        <w:rPr>
          <w:rFonts w:asciiTheme="minorHAnsi" w:eastAsia="MS Mincho" w:hAnsiTheme="minorHAnsi"/>
          <w:color w:val="auto"/>
          <w:lang w:eastAsia="ja-JP"/>
        </w:rPr>
      </w:pPr>
      <w:proofErr w:type="gramStart"/>
      <w:r w:rsidRPr="00273959">
        <w:rPr>
          <w:rFonts w:asciiTheme="minorHAnsi" w:eastAsia="MS Mincho" w:hAnsiTheme="minorHAnsi"/>
          <w:color w:val="auto"/>
          <w:lang w:eastAsia="ja-JP"/>
        </w:rPr>
        <w:t>9.a</w:t>
      </w:r>
      <w:proofErr w:type="gramEnd"/>
      <w:r w:rsidRPr="00273959">
        <w:rPr>
          <w:rFonts w:asciiTheme="minorHAnsi" w:eastAsia="MS Mincho" w:hAnsiTheme="minorHAnsi"/>
          <w:color w:val="auto"/>
          <w:lang w:eastAsia="ja-JP"/>
        </w:rPr>
        <w:t>, 17.8</w:t>
      </w:r>
    </w:p>
    <w:p w:rsidR="0035634B" w:rsidRDefault="0035634B">
      <w:bookmarkStart w:id="63" w:name="_GoBack"/>
      <w:bookmarkEnd w:id="63"/>
    </w:p>
    <w:sectPr w:rsidR="0035634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Italic">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574E"/>
    <w:multiLevelType w:val="hybridMultilevel"/>
    <w:tmpl w:val="0FD2444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4034C0"/>
    <w:multiLevelType w:val="hybridMultilevel"/>
    <w:tmpl w:val="E154F928"/>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959"/>
    <w:rsid w:val="00273959"/>
    <w:rsid w:val="0035634B"/>
    <w:rsid w:val="00374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D/Statistics/Pages/publications/handbook.aspx" TargetMode="External"/><Relationship Id="rId3" Type="http://schemas.microsoft.com/office/2007/relationships/stylesWithEffects" Target="stylesWithEffects.xml"/><Relationship Id="rId7" Type="http://schemas.openxmlformats.org/officeDocument/2006/relationships/hyperlink" Target="http://www.itu.int/en/ITU-D/Statistics/Pages/publications/manual201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u.int/en/ITU-D/Statistics/Pages/publications/handbook.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3458</Words>
  <Characters>19712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2015-05-19T19:18:00Z</dcterms:created>
  <dcterms:modified xsi:type="dcterms:W3CDTF">2015-05-19T19:19:00Z</dcterms:modified>
</cp:coreProperties>
</file>